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E11BB8" w:rsidTr="009722E9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11BB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page"/>
            </w:r>
            <w:r w:rsidRPr="00E11BB8">
              <w:rPr>
                <w:rFonts w:ascii="Tahoma" w:hAnsi="Tahoma" w:cs="Tahoma"/>
              </w:rPr>
              <w:br w:type="page"/>
            </w:r>
            <w:r w:rsidR="00D541A2" w:rsidRPr="00E11BB8"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438400" cy="670560"/>
                  <wp:effectExtent l="19050" t="0" r="0" b="0"/>
                  <wp:docPr id="5" name="Picture 4" descr="Novi logo - Boja_Mal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i logo - Boja_Mali.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E11BB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FB6D41" w:rsidRDefault="005D5311" w:rsidP="00D541A2">
            <w:pPr>
              <w:ind w:left="113"/>
              <w:jc w:val="right"/>
              <w:outlineLvl w:val="0"/>
              <w:rPr>
                <w:rFonts w:ascii="Tahoma" w:hAnsi="Tahoma" w:cs="Tahoma"/>
                <w:color w:val="244061" w:themeColor="accent1" w:themeShade="80"/>
                <w:sz w:val="16"/>
                <w:lang w:val="bs-Latn-BA"/>
              </w:rPr>
            </w:pPr>
            <w:r w:rsidRPr="00FB6D41">
              <w:rPr>
                <w:rFonts w:ascii="Tahoma" w:hAnsi="Tahoma" w:cs="Tahoma"/>
                <w:color w:val="244061" w:themeColor="accent1" w:themeShade="80"/>
                <w:sz w:val="16"/>
                <w:lang w:val="sr-Cyrl-BA"/>
              </w:rPr>
              <w:t>[</w:t>
            </w:r>
            <w:r w:rsidR="009B294C" w:rsidRPr="00FB6D41">
              <w:rPr>
                <w:rFonts w:ascii="Tahoma" w:hAnsi="Tahoma" w:cs="Tahoma"/>
                <w:color w:val="244061" w:themeColor="accent1" w:themeShade="80"/>
                <w:sz w:val="16"/>
                <w:lang w:val="sr-Cyrl-BA"/>
              </w:rPr>
              <w:t>2</w:t>
            </w:r>
            <w:r w:rsidR="00D541A2" w:rsidRPr="00FB6D41">
              <w:rPr>
                <w:rFonts w:ascii="Tahoma" w:hAnsi="Tahoma" w:cs="Tahoma"/>
                <w:color w:val="244061" w:themeColor="accent1" w:themeShade="80"/>
                <w:sz w:val="16"/>
              </w:rPr>
              <w:t>5</w:t>
            </w:r>
            <w:r w:rsidRPr="00FB6D41">
              <w:rPr>
                <w:rFonts w:ascii="Tahoma" w:hAnsi="Tahoma" w:cs="Tahoma"/>
                <w:color w:val="244061" w:themeColor="accent1" w:themeShade="80"/>
                <w:sz w:val="16"/>
                <w:lang w:val="bs-Cyrl-BA"/>
              </w:rPr>
              <w:t xml:space="preserve">. </w:t>
            </w:r>
            <w:r w:rsidR="009B294C" w:rsidRPr="00FB6D41">
              <w:rPr>
                <w:rFonts w:ascii="Tahoma" w:hAnsi="Tahoma" w:cs="Tahoma"/>
                <w:color w:val="244061" w:themeColor="accent1" w:themeShade="80"/>
                <w:sz w:val="16"/>
                <w:lang w:val="bs-Cyrl-BA"/>
              </w:rPr>
              <w:t>новем</w:t>
            </w:r>
            <w:r w:rsidR="00DB6D76" w:rsidRPr="00FB6D41">
              <w:rPr>
                <w:rFonts w:ascii="Tahoma" w:hAnsi="Tahoma" w:cs="Tahoma"/>
                <w:color w:val="244061" w:themeColor="accent1" w:themeShade="80"/>
                <w:sz w:val="16"/>
                <w:lang w:val="sr-Cyrl-CS"/>
              </w:rPr>
              <w:t>бар</w:t>
            </w:r>
            <w:r w:rsidRPr="00FB6D41">
              <w:rPr>
                <w:rFonts w:ascii="Tahoma" w:hAnsi="Tahoma" w:cs="Tahoma"/>
                <w:color w:val="244061" w:themeColor="accent1" w:themeShade="80"/>
                <w:sz w:val="16"/>
                <w:lang w:val="bs-Cyrl-BA"/>
              </w:rPr>
              <w:t xml:space="preserve"> </w:t>
            </w:r>
            <w:r w:rsidRPr="00FB6D41">
              <w:rPr>
                <w:rFonts w:ascii="Tahoma" w:hAnsi="Tahoma" w:cs="Tahoma"/>
                <w:color w:val="244061" w:themeColor="accent1" w:themeShade="80"/>
                <w:sz w:val="16"/>
                <w:lang w:val="sr-Cyrl-BA"/>
              </w:rPr>
              <w:t xml:space="preserve">2011.]  </w:t>
            </w:r>
            <w:r w:rsidR="005D400E" w:rsidRPr="00FB6D41">
              <w:rPr>
                <w:rFonts w:ascii="Tahoma" w:hAnsi="Tahoma" w:cs="Tahoma"/>
                <w:b/>
                <w:color w:val="244061" w:themeColor="accent1" w:themeShade="80"/>
                <w:sz w:val="32"/>
                <w:szCs w:val="32"/>
                <w:lang w:val="sr-Cyrl-BA"/>
              </w:rPr>
              <w:t>1</w:t>
            </w:r>
            <w:r w:rsidR="00D541A2" w:rsidRPr="00FB6D41">
              <w:rPr>
                <w:rFonts w:ascii="Tahoma" w:hAnsi="Tahoma" w:cs="Tahoma"/>
                <w:b/>
                <w:color w:val="244061" w:themeColor="accent1" w:themeShade="80"/>
                <w:sz w:val="32"/>
                <w:szCs w:val="32"/>
              </w:rPr>
              <w:t>1</w:t>
            </w:r>
            <w:r w:rsidRPr="00FB6D41">
              <w:rPr>
                <w:rFonts w:ascii="Tahoma" w:hAnsi="Tahoma" w:cs="Tahoma"/>
                <w:b/>
                <w:color w:val="244061" w:themeColor="accent1" w:themeShade="80"/>
                <w:sz w:val="32"/>
                <w:szCs w:val="32"/>
                <w:lang w:val="sr-Cyrl-BA"/>
              </w:rPr>
              <w:t>/1</w:t>
            </w:r>
            <w:r w:rsidRPr="00FB6D41">
              <w:rPr>
                <w:rFonts w:ascii="Tahoma" w:hAnsi="Tahoma" w:cs="Tahoma"/>
                <w:b/>
                <w:color w:val="244061" w:themeColor="accent1" w:themeShade="80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E11BB8" w:rsidTr="009722E9">
        <w:trPr>
          <w:cantSplit/>
        </w:trPr>
        <w:tc>
          <w:tcPr>
            <w:tcW w:w="5385" w:type="dxa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E11BB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E11BB8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9B294C" w:rsidP="009B294C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новем</w:t>
            </w:r>
            <w:r w:rsidR="00DB6D76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бар</w:t>
            </w:r>
            <w:r w:rsidR="007E158B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2011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E11BB8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E11BB8" w:rsidRDefault="00B07584" w:rsidP="009215D1">
      <w:pPr>
        <w:spacing w:line="360" w:lineRule="auto"/>
        <w:jc w:val="both"/>
        <w:rPr>
          <w:lang w:val="sr-Cyrl-BA"/>
        </w:rPr>
      </w:pPr>
    </w:p>
    <w:p w:rsidR="006E3A3E" w:rsidRPr="00FB6D41" w:rsidRDefault="006E3A3E" w:rsidP="00FB6D41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FB6D41">
        <w:rPr>
          <w:rFonts w:ascii="Tahoma" w:hAnsi="Tahoma" w:cs="Tahoma"/>
          <w:b/>
          <w:sz w:val="28"/>
          <w:szCs w:val="28"/>
          <w:lang w:val="sr-Cyrl-CS"/>
        </w:rPr>
        <w:t>Стопа реалног раста БДП за 2010. годину 0,8% (коначни подаци)</w:t>
      </w:r>
    </w:p>
    <w:p w:rsidR="006E3A3E" w:rsidRPr="00FB6D41" w:rsidRDefault="006E3A3E" w:rsidP="00FB6D4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B6D41">
        <w:rPr>
          <w:rFonts w:ascii="Tahoma" w:hAnsi="Tahoma" w:cs="Tahoma"/>
          <w:sz w:val="24"/>
          <w:szCs w:val="24"/>
          <w:lang w:val="sr-Cyrl-CS"/>
        </w:rPr>
        <w:t>У односу на 2009. годину, БДП номинално већи 1,0% (коначни подаци)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Бруто домаћи производ за 2010. годину, обрачунат примјеном „Производне методе“, исказан у текућим цијенама као коначни податак, износи 8 308 120 000 КМ, односно 5 798 КМ по становнику. У односу на 2009. годину, бруто домаћи производ  је  номинално већи за 1,0%, а реално за 0,8%.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У структури бруто домаћег производа најзначајнијe учешће има подручје Трговине са 12,4%, затим слиједи Пољопривреда са 10,7%, Државна управа, одбрана и обавезно социјално осигурање са 9,8%, потом Пословање некретнинама, изнајмљивање и пословне дјелатности са 9,1%, Прерађивачка индустрија са 8,9% итд.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Највећи реални раст по подручјима дјелатности забиљежен је у подручјима Вађење руда и камена  11,0%, Прерађивачка индустрија  4,5%, Угоститељство 3,6%, Производња и снабдијевање електричном енергијом, гасом и водом 3,0%, док је негативна стопа раста забиљежена у подручјима Рибарство (–32,9%), Грађевинарство (-7,9%) и Пољопривреда (-5,7%).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Према доходовном приступу, у структури  бруто домаћег производа средства за запослене учествују са 47,0%, потрошња фиксног капитала са 14,7%, нето оперативни вишак и нето мјешовити доходак са 21,3%, и нето порези на производњу са -0,4%.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Према потрошном приступу у структури бруто домаћег производа издаци  за коначну потрошњу учествују са 98,3%, бруто инвестиције са 22,5%, извоз роба и услуга  са 37,2%, а увоз роба и услуга са 57,9%.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Коначну потрошњу чине издаци домаћинстава  75,4%, издаци за непрофитне институције 1,1% и издаци за коначну потрошњу државе (индивидуална и колективна) 21,8%.</w:t>
      </w:r>
    </w:p>
    <w:p w:rsidR="006E3A3E" w:rsidRPr="00FB6D41" w:rsidRDefault="006E3A3E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>У  2010. години у односу на 2009. годину, номинална вриједност коначне потрошње  порасла је за 2,4%, у оквиру које издаци за коначну потрошњу  домаћинстава биљеже раст од 2,1%. Бруто инвестиције у стална средства биљеже пад од 16,9% док увоз роба и услуга биљеже раст за 12,0%, а извоз роба и услуга  за 31,9%.</w:t>
      </w:r>
    </w:p>
    <w:p w:rsidR="00FB6D41" w:rsidRPr="00E11BB8" w:rsidRDefault="00FB6D41" w:rsidP="006E3A3E">
      <w:pPr>
        <w:ind w:left="-142"/>
        <w:rPr>
          <w:rFonts w:ascii="Tahoma" w:hAnsi="Tahoma" w:cs="Tahoma"/>
          <w:sz w:val="24"/>
          <w:szCs w:val="24"/>
        </w:rPr>
      </w:pPr>
    </w:p>
    <w:p w:rsidR="00FB6D41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5E0301" w:rsidRPr="00E11BB8" w:rsidRDefault="0066624B" w:rsidP="009B294C">
      <w:pPr>
        <w:rPr>
          <w:rFonts w:ascii="Tahoma" w:hAnsi="Tahoma" w:cs="Tahoma"/>
          <w:b/>
          <w:sz w:val="28"/>
          <w:szCs w:val="28"/>
        </w:rPr>
      </w:pPr>
      <w:r w:rsidRPr="00E11BB8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 w:rsidR="00E324C6" w:rsidRPr="00E11BB8">
        <w:rPr>
          <w:rFonts w:ascii="Tahoma" w:hAnsi="Tahoma" w:cs="Tahoma"/>
          <w:b/>
          <w:sz w:val="28"/>
          <w:szCs w:val="28"/>
          <w:lang w:val="sr-Cyrl-CS"/>
        </w:rPr>
        <w:t>П</w:t>
      </w:r>
      <w:r w:rsidR="00C6075B" w:rsidRPr="00E11BB8">
        <w:rPr>
          <w:rFonts w:ascii="Tahoma" w:hAnsi="Tahoma" w:cs="Tahoma"/>
          <w:b/>
          <w:sz w:val="28"/>
          <w:szCs w:val="28"/>
          <w:lang w:val="sr-Cyrl-CS"/>
        </w:rPr>
        <w:t>росјечн</w:t>
      </w:r>
      <w:r w:rsidR="00C6075B" w:rsidRPr="00E11BB8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="00C6075B" w:rsidRPr="00E11BB8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C6075B" w:rsidRPr="00E11BB8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DE329F" w:rsidRPr="00E11BB8">
        <w:rPr>
          <w:rFonts w:ascii="Tahoma" w:hAnsi="Tahoma" w:cs="Tahoma"/>
          <w:b/>
          <w:sz w:val="28"/>
          <w:szCs w:val="28"/>
          <w:lang w:val="sr-Cyrl-CS"/>
        </w:rPr>
        <w:t>октобру</w:t>
      </w:r>
      <w:r w:rsidR="0032304A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E11BB8">
        <w:rPr>
          <w:rFonts w:ascii="Tahoma" w:hAnsi="Tahoma" w:cs="Tahoma"/>
          <w:b/>
          <w:sz w:val="28"/>
          <w:szCs w:val="28"/>
          <w:lang w:val="sr-Cyrl-CS"/>
        </w:rPr>
        <w:t>8</w:t>
      </w:r>
      <w:r w:rsidR="00DE329F" w:rsidRPr="00E11BB8">
        <w:rPr>
          <w:rFonts w:ascii="Tahoma" w:hAnsi="Tahoma" w:cs="Tahoma"/>
          <w:b/>
          <w:sz w:val="28"/>
          <w:szCs w:val="28"/>
        </w:rPr>
        <w:t>0</w:t>
      </w:r>
      <w:r w:rsidR="00DE329F" w:rsidRPr="00E11BB8">
        <w:rPr>
          <w:rFonts w:ascii="Tahoma" w:hAnsi="Tahoma" w:cs="Tahoma"/>
          <w:b/>
          <w:sz w:val="28"/>
          <w:szCs w:val="28"/>
          <w:lang w:val="sr-Cyrl-CS"/>
        </w:rPr>
        <w:t>2</w:t>
      </w:r>
      <w:r w:rsidR="000668D4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A727AE" w:rsidRPr="00E11BB8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E0301" w:rsidRPr="00E11BB8" w:rsidRDefault="005E0301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E11BB8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E11BB8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="00B61F72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 w:rsidRPr="00E11BB8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E11BB8">
        <w:rPr>
          <w:rFonts w:ascii="Tahoma" w:hAnsi="Tahoma" w:cs="Tahoma"/>
          <w:sz w:val="24"/>
          <w:szCs w:val="24"/>
          <w:lang w:val="sr-Cyrl-CS"/>
        </w:rPr>
        <w:t>2</w:t>
      </w:r>
      <w:r w:rsidR="00DE329F" w:rsidRPr="00E11BB8">
        <w:rPr>
          <w:rFonts w:ascii="Tahoma" w:hAnsi="Tahoma" w:cs="Tahoma"/>
          <w:sz w:val="24"/>
          <w:szCs w:val="24"/>
          <w:lang w:val="sr-Cyrl-CS"/>
        </w:rPr>
        <w:t>30</w:t>
      </w:r>
      <w:r w:rsidR="00B61F72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 w:rsidRPr="00E11BB8">
        <w:rPr>
          <w:rFonts w:ascii="Tahoma" w:hAnsi="Tahoma" w:cs="Tahoma"/>
          <w:sz w:val="24"/>
          <w:szCs w:val="24"/>
          <w:lang w:val="ru-RU"/>
        </w:rPr>
        <w:t>КМ</w:t>
      </w:r>
      <w:r w:rsidRPr="00E11BB8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="00D36059" w:rsidRPr="00E11BB8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="00DE329F" w:rsidRPr="00E11BB8">
        <w:rPr>
          <w:rFonts w:ascii="Tahoma" w:hAnsi="Tahoma" w:cs="Tahoma"/>
          <w:sz w:val="24"/>
          <w:szCs w:val="24"/>
          <w:lang w:val="sr-Cyrl-CS"/>
        </w:rPr>
        <w:t xml:space="preserve"> 538</w:t>
      </w:r>
      <w:r w:rsidR="0032304A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869EB" w:rsidRPr="00E11BB8">
        <w:rPr>
          <w:rFonts w:ascii="Tahoma" w:hAnsi="Tahoma" w:cs="Tahoma"/>
          <w:sz w:val="24"/>
          <w:szCs w:val="24"/>
          <w:lang w:val="sr-Cyrl-CS"/>
        </w:rPr>
        <w:t>КМ</w:t>
      </w:r>
    </w:p>
    <w:p w:rsidR="005E0301" w:rsidRPr="00E11BB8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E11BB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E11BB8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исплаћена у окто</w:t>
      </w:r>
      <w:r w:rsidRPr="00E11BB8">
        <w:rPr>
          <w:rFonts w:ascii="Tahoma" w:hAnsi="Tahoma" w:cs="Tahoma"/>
          <w:sz w:val="18"/>
          <w:szCs w:val="18"/>
          <w:lang w:val="sr-Cyrl-CS"/>
        </w:rPr>
        <w:t>бру 2011.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E11BB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802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КМ</w:t>
      </w:r>
      <w:r w:rsidRPr="00E11BB8">
        <w:rPr>
          <w:rFonts w:ascii="Tahoma" w:hAnsi="Tahoma" w:cs="Tahoma"/>
          <w:sz w:val="18"/>
          <w:szCs w:val="18"/>
          <w:lang w:val="hr-HR"/>
        </w:rPr>
        <w:t>,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E11BB8">
        <w:rPr>
          <w:rFonts w:ascii="Tahoma" w:hAnsi="Tahoma" w:cs="Tahoma"/>
          <w:sz w:val="18"/>
          <w:szCs w:val="18"/>
          <w:lang w:val="sr-Cyrl-CS"/>
        </w:rPr>
        <w:t>росјечна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1 32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0 КМ. </w:t>
      </w:r>
    </w:p>
    <w:p w:rsidR="00FF2825" w:rsidRPr="00E11BB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F2825" w:rsidRPr="00E11BB8" w:rsidRDefault="00DE329F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>У периоду јануар-окто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бар 2011. године просјечна нето плата 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E11BB8">
        <w:rPr>
          <w:rFonts w:ascii="Tahoma" w:hAnsi="Tahoma" w:cs="Tahoma"/>
          <w:sz w:val="18"/>
          <w:szCs w:val="18"/>
          <w:lang w:val="sr-Cyrl-BA"/>
        </w:rPr>
        <w:t>износила 808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КМ, а просјечна бруто плата 1 322 КМ.  У односу на исти период прошле године, просјечна нето плата порасла је номинално за 3,4%, ал</w:t>
      </w:r>
      <w:r w:rsidRPr="00E11BB8">
        <w:rPr>
          <w:rFonts w:ascii="Tahoma" w:hAnsi="Tahoma" w:cs="Tahoma"/>
          <w:sz w:val="18"/>
          <w:szCs w:val="18"/>
          <w:lang w:val="sr-Cyrl-BA"/>
        </w:rPr>
        <w:t>и реално забиљежен је пад за 0,5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>%.</w:t>
      </w:r>
    </w:p>
    <w:p w:rsidR="00FF2825" w:rsidRPr="00E11BB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E11BB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>Просјечна не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то плата исплаћена у окто</w:t>
      </w:r>
      <w:r w:rsidRPr="00E11BB8">
        <w:rPr>
          <w:rFonts w:ascii="Tahoma" w:hAnsi="Tahoma" w:cs="Tahoma"/>
          <w:sz w:val="18"/>
          <w:szCs w:val="18"/>
          <w:lang w:val="sr-Cyrl-CS"/>
        </w:rPr>
        <w:t>бру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2011. године у односу на септембар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исте године мања је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номинално за 0,7% и реално за 1,8</w:t>
      </w:r>
      <w:r w:rsidRPr="00E11BB8">
        <w:rPr>
          <w:rFonts w:ascii="Tahoma" w:hAnsi="Tahoma" w:cs="Tahoma"/>
          <w:sz w:val="18"/>
          <w:szCs w:val="18"/>
          <w:lang w:val="sr-Cyrl-CS"/>
        </w:rPr>
        <w:t>%. У односу на просјечну нето плату у 2010. годин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и, просјечна нето плата у окто</w:t>
      </w:r>
      <w:r w:rsidRPr="00E11BB8">
        <w:rPr>
          <w:rFonts w:ascii="Tahoma" w:hAnsi="Tahoma" w:cs="Tahoma"/>
          <w:sz w:val="18"/>
          <w:szCs w:val="18"/>
          <w:lang w:val="sr-Cyrl-CS"/>
        </w:rPr>
        <w:t>бру 2011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. године  већа је номинално за 2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%, а реално мања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за 2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1%. У окто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бру 2011. године у односу на исти мјесец прошле године просјечна нето плата номинално већа је за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%, а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реално мања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за 1</w:t>
      </w:r>
      <w:r w:rsidRPr="00E11BB8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E11BB8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E11BB8" w:rsidRDefault="005E030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>Највиша просјечна нето плата</w:t>
      </w:r>
      <w:r w:rsidR="00C36EC5" w:rsidRPr="00E11BB8">
        <w:rPr>
          <w:rFonts w:ascii="Tahoma" w:hAnsi="Tahoma" w:cs="Tahoma"/>
          <w:sz w:val="18"/>
          <w:szCs w:val="18"/>
          <w:lang w:val="sr-Cyrl-CS"/>
        </w:rPr>
        <w:t xml:space="preserve"> у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окто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бру </w:t>
      </w:r>
      <w:r w:rsidR="00BE3F1D" w:rsidRPr="00E11BB8">
        <w:rPr>
          <w:rFonts w:ascii="Tahoma" w:hAnsi="Tahoma" w:cs="Tahoma"/>
          <w:sz w:val="18"/>
          <w:szCs w:val="18"/>
          <w:lang w:val="sr-Cyrl-CS"/>
        </w:rPr>
        <w:t>2011. године</w:t>
      </w:r>
      <w:r w:rsidRPr="00E11BB8">
        <w:rPr>
          <w:rFonts w:ascii="Tahoma" w:hAnsi="Tahoma" w:cs="Tahoma"/>
          <w:sz w:val="18"/>
          <w:szCs w:val="18"/>
          <w:lang w:val="sr-Cyrl-CS"/>
        </w:rPr>
        <w:t>, посматра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но по подручјима дјелатности, исплаћена је у подручју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и износи 1 </w:t>
      </w:r>
      <w:r w:rsidR="00351BFE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30</w:t>
      </w:r>
      <w:r w:rsidR="00C03F53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КМ, а најнижа у подручју </w:t>
      </w:r>
      <w:r w:rsidR="00351BFE" w:rsidRPr="00E11BB8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="00351BF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5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38</w:t>
      </w:r>
      <w:r w:rsidR="00C36EC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КМ.</w:t>
      </w:r>
    </w:p>
    <w:p w:rsidR="0089681F" w:rsidRPr="00E11BB8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E11BB8" w:rsidRDefault="00DE329F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>У окто</w:t>
      </w:r>
      <w:r w:rsidR="007B317B" w:rsidRPr="00E11BB8">
        <w:rPr>
          <w:rFonts w:ascii="Tahoma" w:hAnsi="Tahoma" w:cs="Tahoma"/>
          <w:sz w:val="18"/>
          <w:szCs w:val="18"/>
          <w:lang w:val="sr-Cyrl-CS"/>
        </w:rPr>
        <w:t xml:space="preserve">бру </w:t>
      </w:r>
      <w:r w:rsidR="007B317B" w:rsidRPr="00E11BB8">
        <w:rPr>
          <w:rFonts w:ascii="Tahoma" w:hAnsi="Tahoma" w:cs="Tahoma"/>
          <w:sz w:val="18"/>
          <w:szCs w:val="18"/>
          <w:lang w:val="ru-RU"/>
        </w:rPr>
        <w:t>2011. године, у</w:t>
      </w:r>
      <w:r w:rsidR="00BE3F1D" w:rsidRPr="00E11BB8">
        <w:rPr>
          <w:rFonts w:ascii="Tahoma" w:hAnsi="Tahoma" w:cs="Tahoma"/>
          <w:sz w:val="18"/>
          <w:szCs w:val="18"/>
          <w:lang w:val="ru-RU"/>
        </w:rPr>
        <w:t xml:space="preserve"> односу на</w:t>
      </w:r>
      <w:r w:rsidR="004351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септембар</w:t>
      </w:r>
      <w:r w:rsidR="00F4528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E11BB8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E11BB8">
        <w:rPr>
          <w:rFonts w:ascii="Tahoma" w:hAnsi="Tahoma" w:cs="Tahoma"/>
          <w:sz w:val="18"/>
          <w:szCs w:val="18"/>
          <w:lang w:val="ru-RU"/>
        </w:rPr>
        <w:t>.</w:t>
      </w:r>
      <w:r w:rsidR="003E412B" w:rsidRPr="00E11BB8">
        <w:rPr>
          <w:rFonts w:ascii="Tahoma" w:hAnsi="Tahoma" w:cs="Tahoma"/>
          <w:sz w:val="18"/>
          <w:szCs w:val="18"/>
          <w:lang w:val="ru-RU"/>
        </w:rPr>
        <w:t xml:space="preserve"> године, </w:t>
      </w:r>
      <w:r w:rsidR="00BE3F1D" w:rsidRPr="00E11BB8">
        <w:rPr>
          <w:rFonts w:ascii="Tahoma" w:hAnsi="Tahoma" w:cs="Tahoma"/>
          <w:sz w:val="18"/>
          <w:szCs w:val="18"/>
          <w:lang w:val="ru-RU"/>
        </w:rPr>
        <w:t>н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ајвећи номинални раст </w:t>
      </w:r>
      <w:r w:rsidR="00BE3F1D" w:rsidRPr="00E11BB8">
        <w:rPr>
          <w:rFonts w:ascii="Tahoma" w:hAnsi="Tahoma" w:cs="Tahoma"/>
          <w:sz w:val="18"/>
          <w:szCs w:val="18"/>
          <w:lang w:val="sr-Cyrl-CS"/>
        </w:rPr>
        <w:t xml:space="preserve">нето 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плате забиљежен </w:t>
      </w:r>
      <w:r w:rsidR="003E412B" w:rsidRPr="00E11BB8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у</w:t>
      </w:r>
      <w:r w:rsidR="00BE3F1D" w:rsidRPr="00E11BB8">
        <w:rPr>
          <w:rFonts w:ascii="Tahoma" w:hAnsi="Tahoma" w:cs="Tahoma"/>
          <w:sz w:val="18"/>
          <w:szCs w:val="18"/>
          <w:lang w:val="sr-Cyrl-CS"/>
        </w:rPr>
        <w:t xml:space="preserve"> подручјима</w:t>
      </w:r>
      <w:r w:rsidR="005E0301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Пословање некретнинама, изнајмљивање и пословне дјелатности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Pr="00E11BB8">
        <w:rPr>
          <w:rFonts w:ascii="Tahoma" w:hAnsi="Tahoma" w:cs="Tahoma"/>
          <w:i/>
          <w:sz w:val="18"/>
          <w:szCs w:val="18"/>
        </w:rPr>
        <w:t>6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,1%</w:t>
      </w:r>
      <w:r w:rsidRPr="00E11BB8">
        <w:rPr>
          <w:rFonts w:ascii="Tahoma" w:hAnsi="Tahoma" w:cs="Tahoma"/>
          <w:i/>
          <w:sz w:val="18"/>
          <w:szCs w:val="18"/>
        </w:rPr>
        <w:t xml:space="preserve">,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 xml:space="preserve">Прерађивачка индустрија за </w:t>
      </w:r>
      <w:r w:rsidRPr="00E11BB8">
        <w:rPr>
          <w:rFonts w:ascii="Tahoma" w:hAnsi="Tahoma" w:cs="Tahoma"/>
          <w:i/>
          <w:sz w:val="18"/>
          <w:szCs w:val="18"/>
        </w:rPr>
        <w:t>2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%, Производња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и снабдијевање електричном енергијом, гасом и водом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за 1,1% и 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Пољопривреда, лов и шумарство за </w:t>
      </w:r>
      <w:r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>%, док је номинално нижа плата у подручјима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Образовање 3,4%,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Финансијско посредовање 1,8</w:t>
      </w:r>
      <w:r w:rsidR="00526A94" w:rsidRPr="00E11BB8">
        <w:rPr>
          <w:rFonts w:ascii="Tahoma" w:hAnsi="Tahoma" w:cs="Tahoma"/>
          <w:i/>
          <w:sz w:val="18"/>
          <w:szCs w:val="18"/>
          <w:lang w:val="sr-Cyrl-CS"/>
        </w:rPr>
        <w:t>%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, Здравствени и социјални рад 1,5% и Угоститељство</w:t>
      </w:r>
      <w:r w:rsidR="00526A94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CS"/>
        </w:rPr>
        <w:t>0,9%</w:t>
      </w:r>
    </w:p>
    <w:p w:rsidR="0076086A" w:rsidRPr="00E11BB8" w:rsidRDefault="0076086A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66E14" w:rsidRPr="00E11BB8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</w:p>
    <w:p w:rsidR="00AF1FE7" w:rsidRPr="00E11BB8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9712A1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9712A1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1.45pt;margin-top:2.45pt;width:41.05pt;height:26.5pt;z-index:251659264;mso-width-relative:margin;mso-height-relative:margin" stroked="f">
            <v:textbox style="mso-next-textbox:#_x0000_s1063">
              <w:txbxContent>
                <w:p w:rsidR="001D2625" w:rsidRPr="0078288A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="00CD0CCB" w:rsidRPr="00E11BB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58467" cy="3148717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CCB" w:rsidRPr="00E11BB8" w:rsidRDefault="009712A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9712A1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216.8pt;margin-top:.85pt;width:50.4pt;height:17.6pt;z-index:251669504;mso-height-percent:200;mso-height-percent:200;mso-width-relative:margin;mso-height-relative:margin" strokecolor="white [3212]">
            <v:textbox style="mso-fit-shape-to-text:t">
              <w:txbxContent>
                <w:p w:rsidR="001D2625" w:rsidRPr="0029071F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Pr="009712A1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98.65pt;margin-top:.4pt;width:41.3pt;height:19.45pt;z-index:251667456;mso-height-percent:200;mso-height-percent:200;mso-width-relative:margin;mso-height-relative:margin" strokecolor="white [3212]">
            <v:textbox style="mso-next-textbox:#_x0000_s1074;mso-fit-shape-to-text:t">
              <w:txbxContent>
                <w:p w:rsidR="001D2625" w:rsidRPr="0029071F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</w:p>
    <w:p w:rsidR="00CD0CCB" w:rsidRPr="00E11BB8" w:rsidRDefault="00CD0CC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CD0CC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E11BB8" w:rsidRDefault="00BF2682" w:rsidP="00BF2682">
      <w:pPr>
        <w:ind w:left="-142"/>
        <w:outlineLvl w:val="0"/>
        <w:rPr>
          <w:rFonts w:ascii="Tahoma" w:hAnsi="Tahoma" w:cs="Tahoma"/>
          <w:sz w:val="16"/>
        </w:rPr>
      </w:pPr>
      <w:r w:rsidRPr="00E11BB8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0328B8" w:rsidRPr="00E11BB8">
        <w:rPr>
          <w:rFonts w:ascii="Tahoma" w:hAnsi="Tahoma" w:cs="Tahoma"/>
          <w:sz w:val="16"/>
          <w:szCs w:val="16"/>
          <w:lang w:val="sr-Cyrl-BA"/>
        </w:rPr>
        <w:t xml:space="preserve">Графикон </w:t>
      </w:r>
      <w:r w:rsidR="00CE24D5" w:rsidRPr="00E11BB8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E11BB8">
        <w:rPr>
          <w:rFonts w:ascii="Tahoma" w:hAnsi="Tahoma" w:cs="Tahoma"/>
          <w:sz w:val="16"/>
          <w:szCs w:val="16"/>
          <w:lang w:val="ru-RU"/>
        </w:rPr>
        <w:t>.</w:t>
      </w:r>
      <w:r w:rsidR="005E0301" w:rsidRPr="00E11BB8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5E0301" w:rsidRPr="00E11BB8">
        <w:rPr>
          <w:rFonts w:ascii="Tahoma" w:hAnsi="Tahoma" w:cs="Tahoma"/>
          <w:sz w:val="16"/>
          <w:lang w:val="sr-Cyrl-CS"/>
        </w:rPr>
        <w:t>П</w:t>
      </w:r>
      <w:r w:rsidR="005E0301" w:rsidRPr="00E11BB8">
        <w:rPr>
          <w:rFonts w:ascii="Tahoma" w:hAnsi="Tahoma" w:cs="Tahoma"/>
          <w:sz w:val="16"/>
          <w:lang w:val="ru-RU"/>
        </w:rPr>
        <w:t>росјечн</w:t>
      </w:r>
      <w:r w:rsidR="005E0301" w:rsidRPr="00E11BB8">
        <w:rPr>
          <w:rFonts w:ascii="Tahoma" w:hAnsi="Tahoma" w:cs="Tahoma"/>
          <w:sz w:val="16"/>
        </w:rPr>
        <w:t>e</w:t>
      </w:r>
      <w:r w:rsidR="005E0301" w:rsidRPr="00E11BB8">
        <w:rPr>
          <w:rFonts w:ascii="Tahoma" w:hAnsi="Tahoma" w:cs="Tahoma"/>
          <w:sz w:val="16"/>
          <w:lang w:val="ru-RU"/>
        </w:rPr>
        <w:t xml:space="preserve"> нето плат</w:t>
      </w:r>
      <w:r w:rsidR="005E0301" w:rsidRPr="00E11BB8">
        <w:rPr>
          <w:rFonts w:ascii="Tahoma" w:hAnsi="Tahoma" w:cs="Tahoma"/>
          <w:sz w:val="16"/>
        </w:rPr>
        <w:t>e</w:t>
      </w:r>
      <w:r w:rsidR="005E0301" w:rsidRPr="00E11BB8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29071F" w:rsidRPr="00E11BB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E11BB8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E11BB8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E11BB8" w:rsidRDefault="005E030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1561A7" w:rsidRPr="00E11BB8" w:rsidRDefault="009712A1" w:rsidP="0029071F">
      <w:pPr>
        <w:jc w:val="both"/>
        <w:outlineLvl w:val="0"/>
        <w:rPr>
          <w:rFonts w:ascii="Tahoma" w:hAnsi="Tahoma" w:cs="Tahoma"/>
          <w:b/>
          <w:sz w:val="28"/>
          <w:szCs w:val="28"/>
          <w:lang w:val="sr-Cyrl-BA"/>
        </w:rPr>
      </w:pPr>
      <w:r w:rsidRPr="009712A1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next-textbox:#_x0000_s1068;mso-fit-shape-to-text:t">
              <w:txbxContent>
                <w:p w:rsidR="001D2625" w:rsidRPr="00A56A4A" w:rsidRDefault="001D262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12A1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next-textbox:#_x0000_s1069;mso-fit-shape-to-text:t">
              <w:txbxContent>
                <w:p w:rsidR="001D2625" w:rsidRPr="00A56A4A" w:rsidRDefault="001D2625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61A7" w:rsidRPr="00E11BB8">
        <w:rPr>
          <w:rFonts w:ascii="Tahoma" w:hAnsi="Tahoma" w:cs="Tahoma"/>
          <w:b/>
          <w:sz w:val="28"/>
          <w:szCs w:val="28"/>
          <w:lang w:val="sr-Cyrl-BA"/>
        </w:rPr>
        <w:t xml:space="preserve">Мјесечна инфлација у </w:t>
      </w:r>
      <w:r w:rsidR="00282D51" w:rsidRPr="00E11BB8">
        <w:rPr>
          <w:rFonts w:ascii="Tahoma" w:hAnsi="Tahoma" w:cs="Tahoma"/>
          <w:b/>
          <w:sz w:val="28"/>
          <w:szCs w:val="28"/>
          <w:lang w:val="sr-Cyrl-BA"/>
        </w:rPr>
        <w:t>октобру</w:t>
      </w:r>
      <w:r w:rsidR="001561A7" w:rsidRPr="00E11BB8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282D51" w:rsidRPr="00E11BB8">
        <w:rPr>
          <w:rFonts w:ascii="Tahoma" w:hAnsi="Tahoma" w:cs="Tahoma"/>
          <w:b/>
          <w:sz w:val="28"/>
          <w:szCs w:val="28"/>
          <w:lang w:val="sr-Cyrl-BA"/>
        </w:rPr>
        <w:t xml:space="preserve"> године 1</w:t>
      </w:r>
      <w:r w:rsidR="006869EB" w:rsidRPr="00E11BB8">
        <w:rPr>
          <w:rFonts w:ascii="Tahoma" w:hAnsi="Tahoma" w:cs="Tahoma"/>
          <w:b/>
          <w:sz w:val="28"/>
          <w:szCs w:val="28"/>
          <w:lang w:val="sr-Cyrl-BA"/>
        </w:rPr>
        <w:t>,</w:t>
      </w:r>
      <w:r w:rsidR="00282D51" w:rsidRPr="00E11BB8">
        <w:rPr>
          <w:rFonts w:ascii="Tahoma" w:hAnsi="Tahoma" w:cs="Tahoma"/>
          <w:b/>
          <w:sz w:val="28"/>
          <w:szCs w:val="28"/>
          <w:lang w:val="sr-Cyrl-BA"/>
        </w:rPr>
        <w:t>1</w:t>
      </w:r>
      <w:r w:rsidR="006869EB" w:rsidRPr="00E11BB8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E11BB8" w:rsidRDefault="001561A7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 w:rsidRPr="00E11BB8">
        <w:rPr>
          <w:rFonts w:ascii="Tahoma" w:hAnsi="Tahoma" w:cs="Tahoma"/>
          <w:sz w:val="24"/>
          <w:szCs w:val="24"/>
          <w:lang w:val="sr-Cyrl-BA"/>
        </w:rPr>
        <w:t>Годишња инфлација (</w:t>
      </w:r>
      <w:r w:rsidR="005D7CF8" w:rsidRPr="00E11BB8">
        <w:rPr>
          <w:rFonts w:ascii="Tahoma" w:hAnsi="Tahoma" w:cs="Tahoma"/>
          <w:sz w:val="24"/>
          <w:szCs w:val="24"/>
          <w:lang w:val="sr-Cyrl-BA"/>
        </w:rPr>
        <w:t>X</w:t>
      </w:r>
      <w:r w:rsidRPr="00E11BB8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5D7CF8" w:rsidRPr="00E11BB8">
        <w:rPr>
          <w:rFonts w:ascii="Tahoma" w:hAnsi="Tahoma" w:cs="Tahoma"/>
          <w:sz w:val="24"/>
          <w:szCs w:val="24"/>
        </w:rPr>
        <w:t>X</w:t>
      </w:r>
      <w:r w:rsidRPr="00E11BB8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E11BB8">
        <w:rPr>
          <w:rFonts w:ascii="Tahoma" w:hAnsi="Tahoma" w:cs="Tahoma"/>
          <w:sz w:val="24"/>
          <w:szCs w:val="24"/>
          <w:lang w:val="sr-Cyrl-BA"/>
        </w:rPr>
        <w:t>.</w:t>
      </w:r>
      <w:r w:rsidR="00282D51" w:rsidRPr="00E11BB8">
        <w:rPr>
          <w:rFonts w:ascii="Tahoma" w:hAnsi="Tahoma" w:cs="Tahoma"/>
          <w:sz w:val="24"/>
          <w:szCs w:val="24"/>
          <w:lang w:val="sr-Cyrl-BA"/>
        </w:rPr>
        <w:t>) 4</w:t>
      </w:r>
      <w:r w:rsidR="00924AD7" w:rsidRPr="00E11BB8">
        <w:rPr>
          <w:rFonts w:ascii="Tahoma" w:hAnsi="Tahoma" w:cs="Tahoma"/>
          <w:sz w:val="24"/>
          <w:szCs w:val="24"/>
          <w:lang w:val="sr-Cyrl-BA"/>
        </w:rPr>
        <w:t>,</w:t>
      </w:r>
      <w:r w:rsidR="00282D51" w:rsidRPr="00E11BB8">
        <w:rPr>
          <w:rFonts w:ascii="Tahoma" w:hAnsi="Tahoma" w:cs="Tahoma"/>
          <w:sz w:val="24"/>
          <w:szCs w:val="24"/>
          <w:lang w:val="sr-Cyrl-BA"/>
        </w:rPr>
        <w:t>0</w:t>
      </w:r>
      <w:r w:rsidRPr="00E11BB8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E11BB8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E11BB8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  <w:r w:rsidRPr="00E11BB8">
        <w:rPr>
          <w:rFonts w:ascii="Tahoma" w:hAnsi="Tahoma" w:cs="Tahoma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</w:t>
      </w:r>
      <w:r w:rsidR="00BC7F18" w:rsidRPr="00E11BB8">
        <w:rPr>
          <w:rFonts w:ascii="Tahoma" w:hAnsi="Tahoma" w:cs="Tahoma"/>
          <w:szCs w:val="18"/>
          <w:lang w:val="sr-Cyrl-BA"/>
        </w:rPr>
        <w:t>октобру</w:t>
      </w:r>
      <w:r w:rsidR="005D7CF8" w:rsidRPr="00E11BB8">
        <w:rPr>
          <w:rFonts w:ascii="Tahoma" w:hAnsi="Tahoma" w:cs="Tahoma"/>
          <w:szCs w:val="18"/>
        </w:rPr>
        <w:t xml:space="preserve"> </w:t>
      </w:r>
      <w:r w:rsidRPr="00E11BB8">
        <w:rPr>
          <w:rFonts w:ascii="Tahoma" w:hAnsi="Tahoma" w:cs="Tahoma"/>
          <w:szCs w:val="18"/>
          <w:lang w:val="sr-Cyrl-BA"/>
        </w:rPr>
        <w:t xml:space="preserve">2011. године у односу на </w:t>
      </w:r>
      <w:r w:rsidR="00BC7F18" w:rsidRPr="00E11BB8">
        <w:rPr>
          <w:rFonts w:ascii="Tahoma" w:hAnsi="Tahoma" w:cs="Tahoma"/>
          <w:szCs w:val="18"/>
          <w:lang w:val="sr-Cyrl-BA"/>
        </w:rPr>
        <w:t>септембар</w:t>
      </w:r>
      <w:r w:rsidRPr="00E11BB8">
        <w:rPr>
          <w:rFonts w:ascii="Tahoma" w:hAnsi="Tahoma" w:cs="Tahoma"/>
          <w:szCs w:val="18"/>
          <w:lang w:val="sr-Cyrl-BA"/>
        </w:rPr>
        <w:t xml:space="preserve"> 2011. године, у просијеку су </w:t>
      </w:r>
      <w:r w:rsidR="005D7CF8" w:rsidRPr="00E11BB8">
        <w:rPr>
          <w:rFonts w:ascii="Tahoma" w:hAnsi="Tahoma" w:cs="Tahoma"/>
          <w:szCs w:val="18"/>
          <w:lang w:val="sr-Cyrl-BA"/>
        </w:rPr>
        <w:t xml:space="preserve">више за </w:t>
      </w:r>
      <w:r w:rsidR="00BC7F18" w:rsidRPr="00E11BB8">
        <w:rPr>
          <w:rFonts w:ascii="Tahoma" w:hAnsi="Tahoma" w:cs="Tahoma"/>
          <w:szCs w:val="18"/>
          <w:lang w:val="sr-Cyrl-BA"/>
        </w:rPr>
        <w:t>1</w:t>
      </w:r>
      <w:r w:rsidR="005D7CF8" w:rsidRPr="00E11BB8">
        <w:rPr>
          <w:rFonts w:ascii="Tahoma" w:hAnsi="Tahoma" w:cs="Tahoma"/>
          <w:szCs w:val="18"/>
          <w:lang w:val="sr-Cyrl-BA"/>
        </w:rPr>
        <w:t>,</w:t>
      </w:r>
      <w:r w:rsidR="00BC7F18" w:rsidRPr="00E11BB8">
        <w:rPr>
          <w:rFonts w:ascii="Tahoma" w:hAnsi="Tahoma" w:cs="Tahoma"/>
          <w:szCs w:val="18"/>
          <w:lang w:val="sr-Cyrl-BA"/>
        </w:rPr>
        <w:t>1</w:t>
      </w:r>
      <w:r w:rsidR="005D7CF8" w:rsidRPr="00E11BB8">
        <w:rPr>
          <w:rFonts w:ascii="Tahoma" w:hAnsi="Tahoma" w:cs="Tahoma"/>
          <w:szCs w:val="18"/>
          <w:lang w:val="sr-Cyrl-BA"/>
        </w:rPr>
        <w:t>%</w:t>
      </w:r>
      <w:r w:rsidRPr="00E11BB8">
        <w:rPr>
          <w:rFonts w:ascii="Tahoma" w:hAnsi="Tahoma" w:cs="Tahoma"/>
          <w:szCs w:val="18"/>
          <w:lang w:val="sr-Cyrl-BA"/>
        </w:rPr>
        <w:t>.</w:t>
      </w:r>
    </w:p>
    <w:p w:rsidR="00623697" w:rsidRPr="00E11BB8" w:rsidRDefault="00623697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</w:p>
    <w:p w:rsidR="00623697" w:rsidRPr="00E11BB8" w:rsidRDefault="00623697" w:rsidP="00623697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>Овакаво кретање цијена цијена резултирало је преласком обрачуна електричне енергије са љетне на зимску тарифу,</w:t>
      </w:r>
      <w:r w:rsidR="002A2F1D" w:rsidRPr="00E11BB8">
        <w:rPr>
          <w:rFonts w:ascii="Tahoma" w:hAnsi="Tahoma" w:cs="Tahoma"/>
          <w:sz w:val="18"/>
          <w:szCs w:val="18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повећање цијене плина 3,2% као и повећање цијене гријања у Приједору што је узроковало раст цијена у одјељку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Становање </w:t>
      </w:r>
      <w:r w:rsidRPr="00E11BB8">
        <w:rPr>
          <w:rFonts w:ascii="Tahoma" w:hAnsi="Tahoma" w:cs="Tahoma"/>
          <w:sz w:val="18"/>
          <w:szCs w:val="18"/>
          <w:lang w:val="sr-Cyrl-BA"/>
        </w:rPr>
        <w:t>11,1%.</w:t>
      </w:r>
    </w:p>
    <w:p w:rsidR="00623697" w:rsidRPr="00E11BB8" w:rsidRDefault="00623697" w:rsidP="00623697">
      <w:pPr>
        <w:jc w:val="both"/>
        <w:rPr>
          <w:rFonts w:ascii="Tahoma" w:hAnsi="Tahoma" w:cs="Tahoma"/>
          <w:sz w:val="18"/>
          <w:szCs w:val="18"/>
        </w:rPr>
      </w:pPr>
    </w:p>
    <w:p w:rsidR="00623697" w:rsidRPr="00E11BB8" w:rsidRDefault="00623697" w:rsidP="0062369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Раст цијена је још забиљежен и у одјељцима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Алкохолна пића и дуван, Намјештај и покућство, Храна и безалкохолна пића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и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>Остала добра и услуге.</w:t>
      </w:r>
    </w:p>
    <w:p w:rsidR="00623697" w:rsidRPr="00E11BB8" w:rsidRDefault="00623697" w:rsidP="0062369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</w:p>
    <w:p w:rsidR="00623697" w:rsidRPr="00E11BB8" w:rsidRDefault="00623697" w:rsidP="00623697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Алкохолна пића и дуван  </w:t>
      </w:r>
      <w:r w:rsidRPr="00E11BB8">
        <w:rPr>
          <w:rFonts w:ascii="Tahoma" w:hAnsi="Tahoma" w:cs="Tahoma"/>
          <w:sz w:val="18"/>
          <w:szCs w:val="18"/>
          <w:lang w:val="sr-Cyrl-BA"/>
        </w:rPr>
        <w:t>гдје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је у октобру забиљежен раст цијена од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0,3% највећи утицај имало је повећање цијена пива за 0,9%, жестокоих пића за 0,7% и вина за 0,4%.</w:t>
      </w:r>
    </w:p>
    <w:p w:rsidR="00623697" w:rsidRPr="00E11BB8" w:rsidRDefault="00623697" w:rsidP="00623697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623697" w:rsidRPr="00E11BB8" w:rsidRDefault="00623697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Индекс одјељка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Намјештај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и покућство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виши је за 0,2% што је проузроковано повећањем цијена малих апарата и разних додатака за домаћинство (сијалице, прекидачи, утичнице и сл).</w:t>
      </w:r>
    </w:p>
    <w:p w:rsidR="00623697" w:rsidRPr="00E11BB8" w:rsidRDefault="00623697" w:rsidP="00623697">
      <w:pPr>
        <w:jc w:val="both"/>
        <w:rPr>
          <w:rFonts w:ascii="Tahoma" w:eastAsia="Calibri" w:hAnsi="Tahoma" w:cs="Tahoma"/>
          <w:sz w:val="18"/>
          <w:szCs w:val="18"/>
        </w:rPr>
      </w:pPr>
    </w:p>
    <w:p w:rsidR="00623697" w:rsidRPr="00E11BB8" w:rsidRDefault="00623697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И у одјељку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Храна и безалкохолна пића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забиљежен је раст цијена 0,1%, и то у групи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>цијене су у просијеку остале непромијељене, док група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Безалкохолних пића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 биљежи раст 0,6%. Иако 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у просијеку не биљежи промјене цијена, подгрупа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Поврће 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>биљжи повећање цијена за 5,3%,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подгрупа Риба 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биљежи раст цијена 0,7% због повећања цијене прерађене и конзервисане рибе за 2,9%, затим подгрупа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Остали прехрамбени производи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0,5% због повећања цијене прашка за пециво 1,9%, концентроване супе 0,8% и кухињске соли 0,6%, као и подгрупа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Млијеко, сир и јаја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која биљежи раст 0,3% због повећања цијене млијека 0,8% и јогурта 0,7%. Са друге стране подгрупа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Воће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 биљежи пад цијена за 3,4%, подгрупа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Уља и масноће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 1,1% због ниже цијене јестивог уља за 1,6%, затим подгрупа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Хљеб и житарице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 за 0,6% због ниже цијене бијелог брашна за 2,3%, као и подгрупа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Шећер, џем, мед, чоколада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која биљежи пад цијена за 0,1% због ниже цијене шећера за 0,6%.</w:t>
      </w:r>
      <w:r w:rsidR="00DC6B10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На повећање цијена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Безалкохолних пића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за 0,6% највише је утицало повећање цијена какаа и чоколаде у праху за 1,5% као и кафе за 1,2%.</w:t>
      </w:r>
    </w:p>
    <w:p w:rsidR="005F14A0" w:rsidRPr="00E11BB8" w:rsidRDefault="005F14A0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623697" w:rsidRPr="00E11BB8" w:rsidRDefault="00623697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у одјељку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 за 0,1%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проузроковано је повећањем цијена у подгрупи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Накит и сатови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за 0,8%.</w:t>
      </w:r>
    </w:p>
    <w:p w:rsidR="00E27853" w:rsidRPr="00E11BB8" w:rsidRDefault="00E27853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623697" w:rsidRPr="00E11BB8" w:rsidRDefault="00623697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E11BB8">
        <w:rPr>
          <w:rFonts w:ascii="Tahoma" w:eastAsia="Calibri" w:hAnsi="Tahoma" w:cs="Tahoma"/>
          <w:sz w:val="18"/>
          <w:szCs w:val="18"/>
          <w:lang w:val="sr-Cyrl-BA"/>
        </w:rPr>
        <w:lastRenderedPageBreak/>
        <w:t xml:space="preserve">Иако је дошло до повећања цијене карте за градски превоз у Бањалуци, због ниже цијене у подгрупи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Горива и мазива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за 0,8% одјељак </w:t>
      </w:r>
      <w:r w:rsidRPr="00E11BB8">
        <w:rPr>
          <w:rFonts w:ascii="Tahoma" w:eastAsia="Calibri" w:hAnsi="Tahoma" w:cs="Tahoma"/>
          <w:i/>
          <w:sz w:val="18"/>
          <w:szCs w:val="18"/>
          <w:lang w:val="sr-Cyrl-BA"/>
        </w:rPr>
        <w:t>Превоз</w:t>
      </w:r>
      <w:r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цијена за 0,3%. </w:t>
      </w:r>
    </w:p>
    <w:p w:rsidR="00F2773E" w:rsidRPr="00E11BB8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2773E" w:rsidRPr="00E11BB8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E11BB8" w:rsidRDefault="001561A7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E11BB8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октобру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E11BB8">
        <w:rPr>
          <w:rFonts w:ascii="Tahoma" w:hAnsi="Tahoma" w:cs="Tahoma"/>
          <w:sz w:val="18"/>
          <w:szCs w:val="18"/>
          <w:lang w:val="sr-Cyrl-BA"/>
        </w:rPr>
        <w:t>године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2010. </w:t>
      </w:r>
      <w:r w:rsidRPr="00E11BB8">
        <w:rPr>
          <w:rFonts w:ascii="Tahoma" w:hAnsi="Tahoma" w:cs="Tahoma"/>
          <w:sz w:val="18"/>
          <w:szCs w:val="18"/>
          <w:lang w:val="sr-Cyrl-BA"/>
        </w:rPr>
        <w:t>године,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23697" w:rsidRPr="00E11BB8">
        <w:rPr>
          <w:rFonts w:ascii="Tahoma" w:hAnsi="Tahoma" w:cs="Tahoma"/>
          <w:sz w:val="18"/>
          <w:szCs w:val="18"/>
          <w:lang w:val="sr-Cyrl-CS"/>
        </w:rPr>
        <w:t>4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CS"/>
        </w:rPr>
        <w:t>0</w:t>
      </w:r>
      <w:r w:rsidRPr="00E11BB8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E11BB8" w:rsidRDefault="001561A7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октобру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октобар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2010. године, највиши раст забиљежен је  код одјељка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за 10,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1</w:t>
      </w:r>
      <w:r w:rsidRPr="00E11BB8">
        <w:rPr>
          <w:rFonts w:ascii="Tahoma" w:hAnsi="Tahoma" w:cs="Tahoma"/>
          <w:sz w:val="18"/>
          <w:szCs w:val="18"/>
          <w:lang w:val="sr-Cyrl-BA"/>
        </w:rPr>
        <w:t>%, затим слиједе индекси одјељака: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9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%,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за 8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5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3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за 3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>2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>3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>%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4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3%,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="007D2F9C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>0,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1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>%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.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B16A16" w:rsidRPr="00E11BB8">
        <w:rPr>
          <w:rFonts w:ascii="Tahoma" w:hAnsi="Tahoma" w:cs="Tahoma"/>
          <w:sz w:val="18"/>
          <w:szCs w:val="18"/>
          <w:lang w:val="sr-Cyrl-BA"/>
        </w:rPr>
        <w:t>Индекс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 xml:space="preserve"> одјељка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>и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>нижи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 xml:space="preserve"> је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>0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3</w:t>
      </w:r>
      <w:r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B16A16" w:rsidRPr="00E11BB8">
        <w:rPr>
          <w:rFonts w:ascii="Tahoma" w:hAnsi="Tahoma" w:cs="Tahoma"/>
          <w:sz w:val="18"/>
          <w:szCs w:val="18"/>
          <w:lang w:val="sr-Cyrl-BA"/>
        </w:rPr>
        <w:t xml:space="preserve"> и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ндекс одјељка 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>Здравство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нижи је за 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>1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6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4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8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E11BB8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E11BB8" w:rsidRDefault="005E0301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E11BB8">
        <w:rPr>
          <w:rFonts w:ascii="Tahoma" w:hAnsi="Tahoma" w:cs="Tahoma"/>
          <w:b/>
          <w:sz w:val="28"/>
          <w:szCs w:val="28"/>
          <w:lang w:val="sr-Cyrl-CS"/>
        </w:rPr>
        <w:t xml:space="preserve">Цијене произвођача индустријских производа </w:t>
      </w:r>
      <w:r w:rsidR="00153234" w:rsidRPr="00E11BB8">
        <w:rPr>
          <w:rFonts w:ascii="Tahoma" w:hAnsi="Tahoma" w:cs="Tahoma"/>
          <w:b/>
          <w:sz w:val="28"/>
          <w:szCs w:val="28"/>
          <w:lang w:val="sr-Cyrl-CS"/>
        </w:rPr>
        <w:t>(</w:t>
      </w:r>
      <w:r w:rsidR="00B648A4" w:rsidRPr="00E11BB8">
        <w:rPr>
          <w:rFonts w:ascii="Tahoma" w:hAnsi="Tahoma" w:cs="Tahoma"/>
          <w:b/>
          <w:sz w:val="28"/>
          <w:szCs w:val="28"/>
        </w:rPr>
        <w:t>X</w:t>
      </w:r>
      <w:r w:rsidR="00BE5202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E11BB8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E11BB8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E11BB8">
        <w:rPr>
          <w:rFonts w:ascii="Tahoma" w:hAnsi="Tahoma" w:cs="Tahoma"/>
          <w:b/>
          <w:sz w:val="28"/>
          <w:szCs w:val="28"/>
          <w:lang w:val="sr-Cyrl-CS"/>
        </w:rPr>
        <w:t>/</w:t>
      </w:r>
      <w:r w:rsidR="00824E12" w:rsidRPr="00E11BB8">
        <w:rPr>
          <w:rFonts w:ascii="Tahoma" w:hAnsi="Tahoma" w:cs="Tahoma"/>
          <w:b/>
          <w:sz w:val="28"/>
          <w:szCs w:val="28"/>
          <w:lang w:val="sr-Latn-CS"/>
        </w:rPr>
        <w:t>I</w:t>
      </w:r>
      <w:r w:rsidR="007A6DAD" w:rsidRPr="00E11BB8">
        <w:rPr>
          <w:rFonts w:ascii="Tahoma" w:hAnsi="Tahoma" w:cs="Tahoma"/>
          <w:b/>
          <w:sz w:val="28"/>
          <w:szCs w:val="28"/>
          <w:lang w:val="sr-Latn-CS"/>
        </w:rPr>
        <w:t>X</w:t>
      </w:r>
      <w:r w:rsidR="0009483B" w:rsidRPr="00E11BB8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E11BB8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E11BB8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E11BB8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0920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B18BE" w:rsidRPr="00E11BB8">
        <w:rPr>
          <w:rFonts w:ascii="Tahoma" w:hAnsi="Tahoma" w:cs="Tahoma"/>
          <w:b/>
          <w:sz w:val="28"/>
          <w:szCs w:val="28"/>
          <w:lang w:val="sr-Cyrl-CS"/>
        </w:rPr>
        <w:t xml:space="preserve">      </w:t>
      </w:r>
      <w:r w:rsidR="00690920" w:rsidRPr="00E11BB8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7A6DAD" w:rsidRPr="00E11BB8">
        <w:rPr>
          <w:rFonts w:ascii="Tahoma" w:hAnsi="Tahoma" w:cs="Tahoma"/>
          <w:b/>
          <w:sz w:val="28"/>
          <w:szCs w:val="28"/>
          <w:lang w:val="sr-Cyrl-CS"/>
        </w:rPr>
        <w:t>више</w:t>
      </w:r>
      <w:r w:rsidR="00FF2941" w:rsidRPr="00E11BB8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48A4" w:rsidRPr="00E11BB8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E11BB8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E11BB8" w:rsidRDefault="001B32B9" w:rsidP="0020048F">
      <w:pPr>
        <w:jc w:val="both"/>
        <w:rPr>
          <w:rFonts w:ascii="Tahoma" w:hAnsi="Tahoma" w:cs="Tahoma"/>
          <w:lang w:val="sr-Cyrl-CS"/>
        </w:rPr>
      </w:pPr>
    </w:p>
    <w:p w:rsidR="007A6DAD" w:rsidRPr="00E11BB8" w:rsidRDefault="007A6DAD" w:rsidP="007A6DAD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>Цијен</w:t>
      </w:r>
      <w:r w:rsidRPr="00E11BB8">
        <w:rPr>
          <w:rFonts w:ascii="Tahoma" w:hAnsi="Tahoma" w:cs="Tahoma"/>
          <w:sz w:val="18"/>
          <w:szCs w:val="18"/>
        </w:rPr>
        <w:t>e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E11BB8">
        <w:rPr>
          <w:rFonts w:ascii="Tahoma" w:hAnsi="Tahoma" w:cs="Tahoma"/>
          <w:sz w:val="18"/>
          <w:szCs w:val="18"/>
        </w:rPr>
        <w:t xml:space="preserve">a </w:t>
      </w:r>
      <w:r w:rsidRPr="00E11BB8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октобру </w:t>
      </w:r>
      <w:r w:rsidRPr="00E11BB8">
        <w:rPr>
          <w:rFonts w:ascii="Tahoma" w:hAnsi="Tahoma" w:cs="Tahoma"/>
          <w:sz w:val="18"/>
          <w:szCs w:val="18"/>
          <w:lang w:val="hr-HR"/>
        </w:rPr>
        <w:t>20</w:t>
      </w:r>
      <w:r w:rsidRPr="00E11BB8">
        <w:rPr>
          <w:rFonts w:ascii="Tahoma" w:hAnsi="Tahoma" w:cs="Tahoma"/>
          <w:sz w:val="18"/>
          <w:szCs w:val="18"/>
          <w:lang w:val="sr-Cyrl-CS"/>
        </w:rPr>
        <w:t>11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E11BB8">
        <w:rPr>
          <w:rFonts w:ascii="Tahoma" w:hAnsi="Tahoma" w:cs="Tahoma"/>
          <w:sz w:val="18"/>
          <w:szCs w:val="18"/>
          <w:lang w:val="hr-HR"/>
        </w:rPr>
        <w:t>у односу на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E11BB8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201</w:t>
      </w:r>
      <w:r w:rsidRPr="00E11BB8">
        <w:rPr>
          <w:rFonts w:ascii="Tahoma" w:hAnsi="Tahoma" w:cs="Tahoma"/>
          <w:sz w:val="18"/>
          <w:szCs w:val="18"/>
          <w:lang w:val="sr-Cyrl-CS"/>
        </w:rPr>
        <w:t>1</w:t>
      </w:r>
      <w:r w:rsidRPr="00E11BB8">
        <w:rPr>
          <w:rFonts w:ascii="Tahoma" w:hAnsi="Tahoma" w:cs="Tahoma"/>
          <w:sz w:val="18"/>
          <w:szCs w:val="18"/>
          <w:lang w:val="hr-HR"/>
        </w:rPr>
        <w:t>.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0,1%</w:t>
      </w:r>
      <w:r w:rsidRPr="00E11BB8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E11BB8">
        <w:rPr>
          <w:rFonts w:ascii="Tahoma" w:hAnsi="Tahoma" w:cs="Tahoma"/>
          <w:sz w:val="18"/>
          <w:szCs w:val="18"/>
          <w:lang w:val="sr-Cyrl-CS"/>
        </w:rPr>
        <w:t>а у односу октобар 2010. године за 4,0%.</w:t>
      </w:r>
    </w:p>
    <w:p w:rsidR="00AC084B" w:rsidRPr="00E11BB8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B648A4" w:rsidRPr="00E11BB8" w:rsidRDefault="007A6DAD" w:rsidP="00B648A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hr-HR"/>
        </w:rPr>
        <w:t>Посматрано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E11BB8">
        <w:rPr>
          <w:rFonts w:ascii="Tahoma" w:hAnsi="Tahoma" w:cs="Tahoma"/>
          <w:sz w:val="18"/>
          <w:szCs w:val="18"/>
          <w:lang w:val="hr-HR"/>
        </w:rPr>
        <w:t>о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E11BB8">
        <w:rPr>
          <w:rFonts w:ascii="Tahoma" w:hAnsi="Tahoma" w:cs="Tahoma"/>
          <w:sz w:val="18"/>
          <w:szCs w:val="18"/>
          <w:lang w:val="hr-HR"/>
        </w:rPr>
        <w:t>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октобру </w:t>
      </w:r>
      <w:r w:rsidRPr="00E11BB8">
        <w:rPr>
          <w:rFonts w:ascii="Tahoma" w:hAnsi="Tahoma" w:cs="Tahoma"/>
          <w:sz w:val="18"/>
          <w:szCs w:val="18"/>
          <w:lang w:val="hr-HR"/>
        </w:rPr>
        <w:t>20</w:t>
      </w:r>
      <w:r w:rsidRPr="00E11BB8">
        <w:rPr>
          <w:rFonts w:ascii="Tahoma" w:hAnsi="Tahoma" w:cs="Tahoma"/>
          <w:sz w:val="18"/>
          <w:szCs w:val="18"/>
          <w:lang w:val="sr-Cyrl-CS"/>
        </w:rPr>
        <w:t>11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E11BB8">
        <w:rPr>
          <w:rFonts w:ascii="Tahoma" w:hAnsi="Tahoma" w:cs="Tahoma"/>
          <w:sz w:val="18"/>
          <w:szCs w:val="18"/>
          <w:lang w:val="hr-HR"/>
        </w:rPr>
        <w:t>у односу на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E11BB8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201</w:t>
      </w:r>
      <w:r w:rsidRPr="00E11BB8">
        <w:rPr>
          <w:rFonts w:ascii="Tahoma" w:hAnsi="Tahoma" w:cs="Tahoma"/>
          <w:sz w:val="18"/>
          <w:szCs w:val="18"/>
          <w:lang w:val="sr-Cyrl-CS"/>
        </w:rPr>
        <w:t>1. године цијене енергије у просјеку</w:t>
      </w:r>
      <w:r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су више</w:t>
      </w:r>
      <w:r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за</w:t>
      </w:r>
      <w:r w:rsidRPr="00E11BB8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E11BB8">
        <w:rPr>
          <w:rFonts w:ascii="Tahoma" w:hAnsi="Tahoma" w:cs="Tahoma"/>
          <w:sz w:val="18"/>
          <w:szCs w:val="18"/>
        </w:rPr>
        <w:t>8</w:t>
      </w:r>
      <w:r w:rsidRPr="00E11BB8">
        <w:rPr>
          <w:rFonts w:ascii="Tahoma" w:hAnsi="Tahoma" w:cs="Tahoma"/>
          <w:sz w:val="18"/>
          <w:szCs w:val="18"/>
          <w:lang w:val="sr-Latn-CS"/>
        </w:rPr>
        <w:t>%</w:t>
      </w:r>
      <w:r w:rsidRPr="00E11BB8">
        <w:rPr>
          <w:rFonts w:ascii="Tahoma" w:hAnsi="Tahoma" w:cs="Tahoma"/>
          <w:sz w:val="18"/>
          <w:szCs w:val="18"/>
          <w:lang w:val="sr-Cyrl-CS"/>
        </w:rPr>
        <w:t>, цијене нетрајних производа за широку потрошњу за 0,2%, цијене интермедијарних производа у просјеку</w:t>
      </w:r>
      <w:r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су ниже за 0,7%, док су цијене капиталних прозвода као и цијене трајних производа за широку потрошњу у просјеку остале на истом нивоу.</w:t>
      </w:r>
    </w:p>
    <w:p w:rsidR="00AC084B" w:rsidRPr="00E11BB8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E11BB8" w:rsidRDefault="005E0301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0A5A08" w:rsidRPr="00E11BB8">
        <w:rPr>
          <w:rFonts w:ascii="Tahoma" w:hAnsi="Tahoma" w:cs="Tahoma"/>
          <w:sz w:val="18"/>
          <w:szCs w:val="18"/>
          <w:lang w:val="sr-Cyrl-CS"/>
        </w:rPr>
        <w:t>капиталних прозвода</w:t>
      </w:r>
      <w:r w:rsidRPr="00E11BB8">
        <w:rPr>
          <w:rFonts w:ascii="Tahoma" w:hAnsi="Tahoma" w:cs="Tahoma"/>
          <w:sz w:val="18"/>
          <w:szCs w:val="18"/>
          <w:lang w:val="sr-Cyrl-CS"/>
        </w:rPr>
        <w:t>, п</w:t>
      </w:r>
      <w:r w:rsidRPr="00E11BB8">
        <w:rPr>
          <w:rFonts w:ascii="Tahoma" w:hAnsi="Tahoma" w:cs="Tahoma"/>
          <w:sz w:val="18"/>
          <w:szCs w:val="18"/>
          <w:lang w:val="hr-HR"/>
        </w:rPr>
        <w:t>осматрано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E11BB8">
        <w:rPr>
          <w:rFonts w:ascii="Tahoma" w:hAnsi="Tahoma" w:cs="Tahoma"/>
          <w:sz w:val="18"/>
          <w:szCs w:val="18"/>
          <w:lang w:val="hr-HR"/>
        </w:rPr>
        <w:t>о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окто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>бру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>11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E11BB8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окто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>бар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>г</w:t>
      </w:r>
      <w:r w:rsidRPr="00E11BB8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E11BB8">
        <w:rPr>
          <w:rFonts w:ascii="Tahoma" w:hAnsi="Tahoma" w:cs="Tahoma"/>
          <w:sz w:val="18"/>
          <w:szCs w:val="18"/>
          <w:lang w:val="sr-Cyrl-CS"/>
        </w:rPr>
        <w:t>,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су више</w:t>
      </w:r>
      <w:r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AC0542" w:rsidRPr="00E11BB8">
        <w:rPr>
          <w:rFonts w:ascii="Tahoma" w:hAnsi="Tahoma" w:cs="Tahoma"/>
          <w:sz w:val="18"/>
          <w:szCs w:val="18"/>
          <w:lang w:val="sr-Cyrl-CS"/>
        </w:rPr>
        <w:t>за 11,5</w:t>
      </w:r>
      <w:r w:rsidRPr="00E11BB8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E11BB8">
        <w:rPr>
          <w:rFonts w:ascii="Tahoma" w:hAnsi="Tahoma" w:cs="Tahoma"/>
          <w:sz w:val="18"/>
          <w:szCs w:val="18"/>
          <w:lang w:val="sr-Cyrl-CS"/>
        </w:rPr>
        <w:t>,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1128C" w:rsidRPr="00E11BB8">
        <w:rPr>
          <w:rFonts w:ascii="Tahoma" w:hAnsi="Tahoma" w:cs="Tahoma"/>
          <w:sz w:val="18"/>
          <w:szCs w:val="18"/>
          <w:lang w:val="sr-Cyrl-CS"/>
        </w:rPr>
        <w:t>цијене нетрајних про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извода за широку потрошњу за 5,1</w:t>
      </w:r>
      <w:r w:rsidR="00A1128C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цијене енергије за 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5,0</w:t>
      </w:r>
      <w:r w:rsidR="00EB7E5A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Pr="00E11BB8">
        <w:rPr>
          <w:rFonts w:ascii="Tahoma" w:hAnsi="Tahoma" w:cs="Tahoma"/>
          <w:sz w:val="18"/>
          <w:szCs w:val="18"/>
          <w:lang w:val="sr-Cyrl-CS"/>
        </w:rPr>
        <w:t>цијене</w:t>
      </w:r>
      <w:r w:rsidR="000A5A08" w:rsidRPr="00E11BB8">
        <w:rPr>
          <w:rFonts w:ascii="Tahoma" w:hAnsi="Tahoma" w:cs="Tahoma"/>
          <w:sz w:val="18"/>
          <w:szCs w:val="18"/>
          <w:lang w:val="sr-Cyrl-CS"/>
        </w:rPr>
        <w:t xml:space="preserve"> интермедијарних производа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за 2,1</w:t>
      </w:r>
      <w:r w:rsidRPr="00E11BB8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>док су</w:t>
      </w:r>
      <w:r w:rsidR="00AC0542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цијене трајних производа за широку потрошњу 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>у просјеку ниже за 0,4</w:t>
      </w:r>
      <w:r w:rsidRPr="00E11BB8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E11BB8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E025CC" w:rsidRPr="00E11BB8" w:rsidRDefault="00E025CC" w:rsidP="00E025CC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E11BB8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E11BB8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E11BB8">
        <w:rPr>
          <w:rFonts w:ascii="Tahoma" w:hAnsi="Tahoma" w:cs="Tahoma"/>
          <w:sz w:val="18"/>
          <w:szCs w:val="18"/>
          <w:lang w:val="sr-Cyrl-CS"/>
        </w:rPr>
        <w:t>PRODCOM</w:t>
      </w:r>
      <w:r w:rsidRPr="00E11BB8">
        <w:rPr>
          <w:rFonts w:ascii="Tahoma" w:hAnsi="Tahoma" w:cs="Tahoma"/>
          <w:sz w:val="18"/>
          <w:szCs w:val="18"/>
          <w:lang w:val="hr-HR"/>
        </w:rPr>
        <w:t>)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E11BB8">
        <w:rPr>
          <w:rFonts w:ascii="Tahoma" w:hAnsi="Tahoma" w:cs="Tahoma"/>
          <w:sz w:val="18"/>
          <w:szCs w:val="18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(Ц)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E11BB8">
        <w:rPr>
          <w:rFonts w:ascii="Tahoma" w:hAnsi="Tahoma" w:cs="Tahoma"/>
          <w:sz w:val="18"/>
          <w:szCs w:val="18"/>
        </w:rPr>
        <w:t>,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октобру </w:t>
      </w:r>
      <w:r w:rsidRPr="00E11BB8">
        <w:rPr>
          <w:rFonts w:ascii="Tahoma" w:hAnsi="Tahoma" w:cs="Tahoma"/>
          <w:sz w:val="18"/>
          <w:szCs w:val="18"/>
          <w:lang w:val="hr-HR"/>
        </w:rPr>
        <w:t>20</w:t>
      </w:r>
      <w:r w:rsidRPr="00E11BB8">
        <w:rPr>
          <w:rFonts w:ascii="Tahoma" w:hAnsi="Tahoma" w:cs="Tahoma"/>
          <w:sz w:val="18"/>
          <w:szCs w:val="18"/>
          <w:lang w:val="sr-Cyrl-CS"/>
        </w:rPr>
        <w:t>11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E11BB8">
        <w:rPr>
          <w:rFonts w:ascii="Tahoma" w:hAnsi="Tahoma" w:cs="Tahoma"/>
          <w:sz w:val="18"/>
          <w:szCs w:val="18"/>
          <w:lang w:val="sr-Cyrl-CS"/>
        </w:rPr>
        <w:t>године у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септембар</w:t>
      </w:r>
      <w:r w:rsidRPr="00E11BB8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201</w:t>
      </w:r>
      <w:r w:rsidRPr="00E11BB8">
        <w:rPr>
          <w:rFonts w:ascii="Tahoma" w:hAnsi="Tahoma" w:cs="Tahoma"/>
          <w:sz w:val="18"/>
          <w:szCs w:val="18"/>
          <w:lang w:val="sr-Cyrl-CS"/>
        </w:rPr>
        <w:t>1</w:t>
      </w:r>
      <w:r w:rsidRPr="00E11BB8">
        <w:rPr>
          <w:rFonts w:ascii="Tahoma" w:hAnsi="Tahoma" w:cs="Tahoma"/>
          <w:sz w:val="18"/>
          <w:szCs w:val="18"/>
          <w:lang w:val="hr-HR"/>
        </w:rPr>
        <w:t>.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</w:t>
      </w:r>
      <w:r w:rsidRPr="00E11BB8">
        <w:rPr>
          <w:rFonts w:ascii="Tahoma" w:hAnsi="Tahoma" w:cs="Tahoma"/>
          <w:sz w:val="18"/>
          <w:szCs w:val="18"/>
          <w:lang w:val="sr-Latn-CS"/>
        </w:rPr>
        <w:t>,7</w:t>
      </w:r>
      <w:r w:rsidRPr="00E11BB8">
        <w:rPr>
          <w:rFonts w:ascii="Tahoma" w:hAnsi="Tahoma" w:cs="Tahoma"/>
          <w:sz w:val="18"/>
          <w:szCs w:val="18"/>
          <w:lang w:val="sr-Cyrl-CS"/>
        </w:rPr>
        <w:t>%, цијене подручја (Е)  производња и снабдјевање електричном енергијом, гасом и водом су више за 0,5%,  док су цијене</w:t>
      </w:r>
      <w:r w:rsidRPr="00E11BB8">
        <w:rPr>
          <w:rFonts w:ascii="Tahoma" w:hAnsi="Tahoma" w:cs="Tahoma"/>
          <w:sz w:val="18"/>
          <w:szCs w:val="18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подручја (Д) прерађивачка индустрија у просјеку ниже за </w:t>
      </w:r>
      <w:r w:rsidRPr="00E11BB8">
        <w:rPr>
          <w:rFonts w:ascii="Tahoma" w:hAnsi="Tahoma" w:cs="Tahoma"/>
          <w:sz w:val="18"/>
          <w:szCs w:val="18"/>
          <w:lang w:val="sr-Latn-CS"/>
        </w:rPr>
        <w:t>0,</w:t>
      </w:r>
      <w:r w:rsidRPr="00E11BB8">
        <w:rPr>
          <w:rFonts w:ascii="Tahoma" w:hAnsi="Tahoma" w:cs="Tahoma"/>
          <w:sz w:val="18"/>
          <w:szCs w:val="18"/>
          <w:lang w:val="sr-Cyrl-CS"/>
        </w:rPr>
        <w:t>3</w:t>
      </w:r>
      <w:r w:rsidRPr="00E11BB8">
        <w:rPr>
          <w:rFonts w:ascii="Tahoma" w:hAnsi="Tahoma" w:cs="Tahoma"/>
          <w:sz w:val="18"/>
          <w:szCs w:val="18"/>
          <w:lang w:val="sr-Latn-CS"/>
        </w:rPr>
        <w:t>%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C0614D" w:rsidRPr="00E11BB8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E11BB8" w:rsidRDefault="005E030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bs-Cyrl-BA"/>
        </w:rPr>
        <w:t>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окто</w:t>
      </w:r>
      <w:r w:rsidR="000254D0" w:rsidRPr="00E11BB8">
        <w:rPr>
          <w:rFonts w:ascii="Tahoma" w:hAnsi="Tahoma" w:cs="Tahoma"/>
          <w:sz w:val="18"/>
          <w:szCs w:val="18"/>
          <w:lang w:val="sr-Cyrl-CS"/>
        </w:rPr>
        <w:t>бру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20</w:t>
      </w:r>
      <w:r w:rsidR="00A507FC" w:rsidRPr="00E11BB8">
        <w:rPr>
          <w:rFonts w:ascii="Tahoma" w:hAnsi="Tahoma" w:cs="Tahoma"/>
          <w:sz w:val="18"/>
          <w:szCs w:val="18"/>
          <w:lang w:val="sr-Cyrl-CS"/>
        </w:rPr>
        <w:t>11</w:t>
      </w:r>
      <w:r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E11BB8">
        <w:rPr>
          <w:rFonts w:ascii="Tahoma" w:hAnsi="Tahoma" w:cs="Tahoma"/>
          <w:sz w:val="18"/>
          <w:szCs w:val="18"/>
          <w:lang w:val="sr-Cyrl-CS"/>
        </w:rPr>
        <w:t>г</w:t>
      </w:r>
      <w:r w:rsidRPr="00E11BB8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E11BB8">
        <w:rPr>
          <w:rFonts w:ascii="Tahoma" w:hAnsi="Tahoma" w:cs="Tahoma"/>
          <w:sz w:val="18"/>
          <w:szCs w:val="18"/>
          <w:lang w:val="sr-Cyrl-CS"/>
        </w:rPr>
        <w:t>,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окто</w:t>
      </w:r>
      <w:r w:rsidR="000254D0" w:rsidRPr="00E11BB8">
        <w:rPr>
          <w:rFonts w:ascii="Tahoma" w:hAnsi="Tahoma" w:cs="Tahoma"/>
          <w:sz w:val="18"/>
          <w:szCs w:val="18"/>
          <w:lang w:val="sr-Cyrl-CS"/>
        </w:rPr>
        <w:t>бар</w:t>
      </w:r>
      <w:r w:rsidR="007D156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hr-HR"/>
        </w:rPr>
        <w:t>20</w:t>
      </w:r>
      <w:r w:rsidR="00A507FC" w:rsidRPr="00E11BB8">
        <w:rPr>
          <w:rFonts w:ascii="Tahoma" w:hAnsi="Tahoma" w:cs="Tahoma"/>
          <w:sz w:val="18"/>
          <w:szCs w:val="18"/>
          <w:lang w:val="sr-Cyrl-CS"/>
        </w:rPr>
        <w:t>10</w:t>
      </w:r>
      <w:r w:rsidRPr="00E11BB8">
        <w:rPr>
          <w:rFonts w:ascii="Tahoma" w:hAnsi="Tahoma" w:cs="Tahoma"/>
          <w:sz w:val="18"/>
          <w:szCs w:val="18"/>
          <w:lang w:val="hr-HR"/>
        </w:rPr>
        <w:t>.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E11BB8">
        <w:rPr>
          <w:rFonts w:ascii="Tahoma" w:hAnsi="Tahoma" w:cs="Tahoma"/>
          <w:sz w:val="18"/>
          <w:szCs w:val="18"/>
        </w:rPr>
        <w:t>j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B5460E" w:rsidRPr="00E11BB8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F445C9" w:rsidRPr="00E11BB8">
        <w:rPr>
          <w:rFonts w:ascii="Tahoma" w:hAnsi="Tahoma" w:cs="Tahoma"/>
          <w:sz w:val="18"/>
          <w:szCs w:val="18"/>
          <w:lang w:val="sr-Cyrl-CS"/>
        </w:rPr>
        <w:t xml:space="preserve">  у</w:t>
      </w:r>
      <w:r w:rsidR="000D4C8C" w:rsidRPr="00E11BB8">
        <w:rPr>
          <w:rFonts w:ascii="Tahoma" w:hAnsi="Tahoma" w:cs="Tahoma"/>
          <w:sz w:val="18"/>
          <w:szCs w:val="18"/>
          <w:lang w:val="sr-Cyrl-CS"/>
        </w:rPr>
        <w:t xml:space="preserve"> просјеку су више за 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14,0</w:t>
      </w:r>
      <w:r w:rsidRPr="00E11BB8">
        <w:rPr>
          <w:rFonts w:ascii="Tahoma" w:hAnsi="Tahoma" w:cs="Tahoma"/>
          <w:sz w:val="18"/>
          <w:szCs w:val="18"/>
          <w:lang w:val="sr-Cyrl-CS"/>
        </w:rPr>
        <w:t>%, цијене подручја</w:t>
      </w:r>
      <w:r w:rsidR="0015323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5460E" w:rsidRPr="00E11BB8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E025C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за 4,0</w:t>
      </w:r>
      <w:r w:rsidR="00305B23" w:rsidRPr="00E11BB8">
        <w:rPr>
          <w:rFonts w:ascii="Tahoma" w:hAnsi="Tahoma" w:cs="Tahoma"/>
          <w:bCs/>
          <w:sz w:val="18"/>
          <w:szCs w:val="18"/>
          <w:lang w:val="sr-Cyrl-CS"/>
        </w:rPr>
        <w:t>% и цијене подручја</w:t>
      </w:r>
      <w:r w:rsidR="00305B23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bCs/>
          <w:i/>
          <w:sz w:val="18"/>
          <w:szCs w:val="18"/>
          <w:lang w:val="sr-Cyrl-CS"/>
        </w:rPr>
        <w:t>Производња и снабдијевање електричном енергијом</w:t>
      </w:r>
      <w:r w:rsidRPr="00E11BB8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E11BB8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за 1,2 </w:t>
      </w:r>
      <w:r w:rsidRPr="00E11BB8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E11BB8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E11BB8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E11BB8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E11BB8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 w:rsidRPr="00E11BB8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E11BB8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="00E578C7"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161921" w:rsidRPr="00E11BB8">
        <w:rPr>
          <w:rFonts w:ascii="Tahoma" w:hAnsi="Tahoma" w:cs="Tahoma"/>
          <w:b/>
          <w:spacing w:val="-4"/>
          <w:sz w:val="28"/>
          <w:szCs w:val="28"/>
        </w:rPr>
        <w:t>X</w:t>
      </w:r>
      <w:r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Pr="00E11BB8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E11BB8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E11BB8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AC5FA4"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E11BB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554EB1" w:rsidRPr="00E11BB8">
        <w:rPr>
          <w:rFonts w:ascii="Tahoma" w:hAnsi="Tahoma" w:cs="Tahoma"/>
          <w:b/>
          <w:bCs/>
          <w:spacing w:val="-4"/>
          <w:sz w:val="28"/>
          <w:szCs w:val="28"/>
        </w:rPr>
        <w:t>10</w:t>
      </w:r>
      <w:r w:rsidRPr="00E11BB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554EB1" w:rsidRPr="00E11BB8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Pr="00E11BB8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E11BB8" w:rsidRDefault="005E0301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E11BB8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E11BB8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EA3F27" w:rsidRPr="00E11BB8">
        <w:rPr>
          <w:rFonts w:ascii="Tahoma" w:hAnsi="Tahoma" w:cs="Tahoma"/>
          <w:sz w:val="24"/>
          <w:szCs w:val="24"/>
          <w:lang w:val="sr-Cyrl-CS"/>
        </w:rPr>
        <w:t>Х</w:t>
      </w:r>
      <w:r w:rsidRPr="00E11BB8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E11BB8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E11BB8">
        <w:rPr>
          <w:rFonts w:ascii="Tahoma" w:hAnsi="Tahoma" w:cs="Tahoma"/>
          <w:sz w:val="24"/>
          <w:szCs w:val="24"/>
          <w:lang w:val="sr-Cyrl-CS"/>
        </w:rPr>
        <w:t>1</w:t>
      </w:r>
      <w:r w:rsidRPr="00E11BB8">
        <w:rPr>
          <w:rFonts w:ascii="Tahoma" w:hAnsi="Tahoma" w:cs="Tahoma"/>
          <w:sz w:val="24"/>
          <w:szCs w:val="24"/>
          <w:lang w:val="sr-Latn-BA"/>
        </w:rPr>
        <w:t>/</w:t>
      </w:r>
      <w:r w:rsidRPr="00E11BB8">
        <w:rPr>
          <w:rFonts w:ascii="Tahoma" w:hAnsi="Tahoma" w:cs="Tahoma"/>
          <w:bCs/>
          <w:sz w:val="24"/>
          <w:szCs w:val="24"/>
        </w:rPr>
        <w:sym w:font="Symbol" w:char="F0C6"/>
      </w:r>
      <w:r w:rsidRPr="00E11BB8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E11BB8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E11BB8">
        <w:rPr>
          <w:rFonts w:ascii="Tahoma" w:hAnsi="Tahoma" w:cs="Tahoma"/>
          <w:bCs/>
          <w:sz w:val="24"/>
          <w:szCs w:val="24"/>
          <w:lang w:val="ru-RU"/>
        </w:rPr>
        <w:t>1</w:t>
      </w:r>
      <w:r w:rsidRPr="00E11BB8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E11BB8">
        <w:rPr>
          <w:rFonts w:ascii="Tahoma" w:hAnsi="Tahoma" w:cs="Tahoma"/>
          <w:bCs/>
          <w:sz w:val="24"/>
          <w:szCs w:val="24"/>
          <w:lang w:val="ru-RU"/>
        </w:rPr>
        <w:t>.</w:t>
      </w:r>
      <w:r w:rsidRPr="00E11BB8">
        <w:rPr>
          <w:rFonts w:ascii="Tahoma" w:hAnsi="Tahoma" w:cs="Tahoma"/>
          <w:bCs/>
          <w:sz w:val="24"/>
          <w:szCs w:val="24"/>
          <w:lang w:val="hr-HR"/>
        </w:rPr>
        <w:t>)</w:t>
      </w:r>
      <w:r w:rsidRPr="00E11BB8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E11BB8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="0066355A" w:rsidRPr="00E11BB8">
        <w:rPr>
          <w:rFonts w:ascii="Tahoma" w:hAnsi="Tahoma" w:cs="Tahoma"/>
          <w:sz w:val="24"/>
          <w:szCs w:val="24"/>
          <w:lang w:val="sr-Cyrl-CS"/>
        </w:rPr>
        <w:t>2</w:t>
      </w:r>
      <w:r w:rsidRPr="00E11BB8">
        <w:rPr>
          <w:rFonts w:ascii="Tahoma" w:hAnsi="Tahoma" w:cs="Tahoma"/>
          <w:sz w:val="24"/>
          <w:szCs w:val="24"/>
          <w:lang w:val="sr-Cyrl-BA"/>
        </w:rPr>
        <w:t>,</w:t>
      </w:r>
      <w:r w:rsidR="00CF2D6E" w:rsidRPr="00E11BB8">
        <w:rPr>
          <w:rFonts w:ascii="Tahoma" w:hAnsi="Tahoma" w:cs="Tahoma"/>
          <w:sz w:val="24"/>
          <w:szCs w:val="24"/>
        </w:rPr>
        <w:t>7</w:t>
      </w:r>
      <w:r w:rsidRPr="00E11BB8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E11BB8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E11BB8" w:rsidRDefault="00903A70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И</w:t>
      </w:r>
      <w:r w:rsidR="005E0301" w:rsidRPr="00E11BB8">
        <w:rPr>
          <w:rFonts w:ascii="Tahoma" w:hAnsi="Tahoma" w:cs="Tahoma"/>
          <w:b/>
          <w:sz w:val="18"/>
          <w:szCs w:val="18"/>
          <w:lang w:val="ru-RU"/>
        </w:rPr>
        <w:t>ндустријск</w:t>
      </w:r>
      <w:r>
        <w:rPr>
          <w:rFonts w:ascii="Tahoma" w:hAnsi="Tahoma" w:cs="Tahoma"/>
          <w:b/>
          <w:sz w:val="18"/>
          <w:szCs w:val="18"/>
          <w:lang w:val="ru-RU"/>
        </w:rPr>
        <w:t>а</w:t>
      </w:r>
      <w:r w:rsidR="005E0301" w:rsidRPr="00E11BB8">
        <w:rPr>
          <w:rFonts w:ascii="Tahoma" w:hAnsi="Tahoma" w:cs="Tahoma"/>
          <w:b/>
          <w:sz w:val="18"/>
          <w:szCs w:val="18"/>
          <w:lang w:val="ru-RU"/>
        </w:rPr>
        <w:t xml:space="preserve"> производњ</w:t>
      </w:r>
      <w:r>
        <w:rPr>
          <w:rFonts w:ascii="Tahoma" w:hAnsi="Tahoma" w:cs="Tahoma"/>
          <w:b/>
          <w:sz w:val="18"/>
          <w:szCs w:val="18"/>
          <w:lang w:val="ru-RU"/>
        </w:rPr>
        <w:t>а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остварен</w:t>
      </w:r>
      <w:r>
        <w:rPr>
          <w:rFonts w:ascii="Tahoma" w:hAnsi="Tahoma" w:cs="Tahoma"/>
          <w:sz w:val="18"/>
          <w:szCs w:val="18"/>
          <w:lang w:val="ru-RU"/>
        </w:rPr>
        <w:t>а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у 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октобру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E11BB8">
        <w:rPr>
          <w:rFonts w:ascii="Tahoma" w:hAnsi="Tahoma" w:cs="Tahoma"/>
          <w:sz w:val="18"/>
          <w:szCs w:val="18"/>
          <w:lang w:val="ru-RU"/>
        </w:rPr>
        <w:t>1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просјечну мјесечну производњу из 2010. године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E11BB8">
        <w:rPr>
          <w:rFonts w:ascii="Tahoma" w:hAnsi="Tahoma" w:cs="Tahoma"/>
          <w:sz w:val="18"/>
          <w:szCs w:val="18"/>
          <w:lang w:val="ru-RU"/>
        </w:rPr>
        <w:t>већ</w:t>
      </w:r>
      <w:r>
        <w:rPr>
          <w:rFonts w:ascii="Tahoma" w:hAnsi="Tahoma" w:cs="Tahoma"/>
          <w:sz w:val="18"/>
          <w:szCs w:val="18"/>
          <w:lang w:val="ru-RU"/>
        </w:rPr>
        <w:t>а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10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8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>%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, у односу на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претходни мјесец текуће године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E11BB8">
        <w:rPr>
          <w:rFonts w:ascii="Tahoma" w:hAnsi="Tahoma" w:cs="Tahoma"/>
          <w:sz w:val="18"/>
          <w:szCs w:val="18"/>
          <w:lang w:val="sr-Cyrl-BA"/>
        </w:rPr>
        <w:t>већ</w:t>
      </w:r>
      <w:r>
        <w:rPr>
          <w:rFonts w:ascii="Tahoma" w:hAnsi="Tahoma" w:cs="Tahoma"/>
          <w:sz w:val="18"/>
          <w:szCs w:val="18"/>
          <w:lang w:val="sr-Cyrl-BA"/>
        </w:rPr>
        <w:t>а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7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4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>%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и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 у односу на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исти мјесец прошле године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5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9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E11BB8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E11BB8" w:rsidRDefault="00903A7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И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ндустријск</w:t>
      </w:r>
      <w:r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производњ</w:t>
      </w:r>
      <w:r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остварен</w:t>
      </w:r>
      <w:r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у периоду јануар</w:t>
      </w:r>
      <w:r w:rsidR="00AC5FA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>октобар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исти период 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>прошле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године већ</w:t>
      </w:r>
      <w:r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је за </w:t>
      </w:r>
      <w:r w:rsidR="00161921" w:rsidRPr="00E11BB8">
        <w:rPr>
          <w:rFonts w:ascii="Tahoma" w:hAnsi="Tahoma" w:cs="Tahoma"/>
          <w:sz w:val="18"/>
          <w:szCs w:val="18"/>
          <w:lang w:val="sr-Cyrl-BA"/>
        </w:rPr>
        <w:t>6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>7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%. У истом периоду 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подручју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42F94" w:rsidRPr="00E11BB8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забиљежена је позитивна стопа промјене од 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21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0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%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>,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у подручју 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позитивна стопа промјене 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4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6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>% и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>позитивна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стопа промјене 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>од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>3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5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E11BB8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E11BB8" w:rsidRDefault="00C42F94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E11BB8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-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октобар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2011. године у односу на исти период прошле године забиљежена је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позитивна стопа промјене 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трајних производа </w:t>
      </w:r>
      <w:r w:rsidRPr="00E11BB8">
        <w:rPr>
          <w:rFonts w:ascii="Tahoma" w:hAnsi="Tahoma" w:cs="Tahoma"/>
          <w:sz w:val="18"/>
          <w:szCs w:val="18"/>
          <w:lang w:val="sr-Cyrl-BA"/>
        </w:rPr>
        <w:t>од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35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0</w:t>
      </w:r>
      <w:r w:rsidRPr="00E11BB8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E11BB8">
        <w:rPr>
          <w:rFonts w:ascii="Tahoma" w:hAnsi="Tahoma" w:cs="Tahoma"/>
          <w:sz w:val="18"/>
          <w:szCs w:val="18"/>
          <w:lang w:val="sr-Cyrl-BA"/>
        </w:rPr>
        <w:t>,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енергије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="002F5375" w:rsidRPr="00E11BB8">
        <w:rPr>
          <w:rFonts w:ascii="Tahoma" w:hAnsi="Tahoma" w:cs="Tahoma"/>
          <w:sz w:val="18"/>
          <w:szCs w:val="18"/>
          <w:lang w:val="sr-Cyrl-BA"/>
        </w:rPr>
        <w:t>8</w:t>
      </w:r>
      <w:r w:rsidR="008E6F6E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2F5375" w:rsidRPr="00E11BB8">
        <w:rPr>
          <w:rFonts w:ascii="Tahoma" w:hAnsi="Tahoma" w:cs="Tahoma"/>
          <w:sz w:val="18"/>
          <w:szCs w:val="18"/>
          <w:lang w:val="sr-Cyrl-BA"/>
        </w:rPr>
        <w:t>3</w:t>
      </w:r>
      <w:r w:rsidRPr="00E11BB8">
        <w:rPr>
          <w:rFonts w:ascii="Tahoma" w:hAnsi="Tahoma" w:cs="Tahoma"/>
          <w:sz w:val="18"/>
          <w:szCs w:val="18"/>
          <w:lang w:val="sr-Cyrl-BA"/>
        </w:rPr>
        <w:t>%</w:t>
      </w:r>
      <w:r w:rsidR="00161921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од 6</w:t>
      </w:r>
      <w:r w:rsidR="00161921" w:rsidRPr="00E11BB8">
        <w:rPr>
          <w:rFonts w:ascii="Tahoma" w:hAnsi="Tahoma" w:cs="Tahoma"/>
          <w:sz w:val="18"/>
          <w:szCs w:val="18"/>
          <w:lang w:val="ru-RU"/>
        </w:rPr>
        <w:t>,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6</w:t>
      </w:r>
      <w:r w:rsidR="00161921" w:rsidRPr="00E11BB8">
        <w:rPr>
          <w:rFonts w:ascii="Tahoma" w:hAnsi="Tahoma" w:cs="Tahoma"/>
          <w:sz w:val="18"/>
          <w:szCs w:val="18"/>
          <w:lang w:val="ru-RU"/>
        </w:rPr>
        <w:t xml:space="preserve">% 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>и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>нетрајних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D27D1" w:rsidRPr="00E11BB8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161921" w:rsidRPr="00E11BB8">
        <w:rPr>
          <w:rFonts w:ascii="Tahoma" w:hAnsi="Tahoma" w:cs="Tahoma"/>
          <w:sz w:val="18"/>
          <w:szCs w:val="18"/>
          <w:lang w:val="ru-RU"/>
        </w:rPr>
        <w:t>3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2F5375" w:rsidRPr="00E11BB8">
        <w:rPr>
          <w:rFonts w:ascii="Tahoma" w:hAnsi="Tahoma" w:cs="Tahoma"/>
          <w:sz w:val="18"/>
          <w:szCs w:val="18"/>
          <w:lang w:val="sr-Cyrl-CS"/>
        </w:rPr>
        <w:t>5</w:t>
      </w:r>
      <w:r w:rsidRPr="00E11BB8">
        <w:rPr>
          <w:rFonts w:ascii="Tahoma" w:hAnsi="Tahoma" w:cs="Tahoma"/>
          <w:sz w:val="18"/>
          <w:szCs w:val="18"/>
          <w:lang w:val="ru-RU"/>
        </w:rPr>
        <w:t>%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, док је код 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>капиталних производа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забиљежена негативна стопа промјене</w:t>
      </w:r>
      <w:r w:rsidR="00FD27D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903A70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6</w:t>
      </w:r>
      <w:r w:rsidRPr="00E11BB8">
        <w:rPr>
          <w:rFonts w:ascii="Tahoma" w:hAnsi="Tahoma" w:cs="Tahoma"/>
          <w:sz w:val="18"/>
          <w:szCs w:val="18"/>
          <w:lang w:val="ru-RU"/>
        </w:rPr>
        <w:t>,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1</w:t>
      </w:r>
      <w:r w:rsidRPr="00E11BB8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E11BB8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E11BB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E11BB8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у 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октобру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2011. године 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односу на 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септембар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године </w:t>
      </w:r>
      <w:r w:rsidR="00E929B6" w:rsidRPr="00E11BB8">
        <w:rPr>
          <w:rFonts w:ascii="Tahoma" w:hAnsi="Tahoma" w:cs="Tahoma"/>
          <w:sz w:val="18"/>
          <w:szCs w:val="18"/>
          <w:lang w:val="ru-RU"/>
        </w:rPr>
        <w:t>мањи</w:t>
      </w:r>
      <w:r w:rsidR="0066355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је </w:t>
      </w:r>
      <w:r w:rsidR="0066355A" w:rsidRPr="00E11BB8">
        <w:rPr>
          <w:rFonts w:ascii="Tahoma" w:hAnsi="Tahoma" w:cs="Tahoma"/>
          <w:sz w:val="18"/>
          <w:szCs w:val="18"/>
          <w:lang w:val="ru-RU"/>
        </w:rPr>
        <w:t>за 0,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4</w:t>
      </w:r>
      <w:r w:rsidR="0066355A" w:rsidRPr="00E11BB8">
        <w:rPr>
          <w:rFonts w:ascii="Tahoma" w:hAnsi="Tahoma" w:cs="Tahoma"/>
          <w:sz w:val="18"/>
          <w:szCs w:val="18"/>
          <w:lang w:val="ru-RU"/>
        </w:rPr>
        <w:t>%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E11BB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E11BB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периоду јануар - 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октобар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2011. године у поређењу са истим периодом прошле године </w:t>
      </w:r>
      <w:r w:rsidR="00C249E3" w:rsidRPr="00E11BB8">
        <w:rPr>
          <w:rFonts w:ascii="Tahoma" w:hAnsi="Tahoma" w:cs="Tahoma"/>
          <w:sz w:val="18"/>
          <w:szCs w:val="18"/>
          <w:lang w:val="sr-Cyrl-CS"/>
        </w:rPr>
        <w:t>мањи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је за 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2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1</w:t>
      </w:r>
      <w:r w:rsidRPr="00E11BB8">
        <w:rPr>
          <w:rFonts w:ascii="Tahoma" w:hAnsi="Tahoma" w:cs="Tahoma"/>
          <w:sz w:val="18"/>
          <w:szCs w:val="18"/>
          <w:lang w:val="sr-Cyrl-CS"/>
        </w:rPr>
        <w:t>%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="00431EFB" w:rsidRPr="00E11BB8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остварен раст од </w:t>
      </w:r>
      <w:r w:rsidR="00C249E3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% и </w:t>
      </w:r>
      <w:r w:rsidRPr="00E11BB8">
        <w:rPr>
          <w:rFonts w:ascii="Tahoma" w:hAnsi="Tahoma" w:cs="Tahoma"/>
          <w:sz w:val="18"/>
          <w:szCs w:val="18"/>
          <w:lang w:val="ru-RU"/>
        </w:rPr>
        <w:t>у подручју</w:t>
      </w:r>
      <w:r w:rsidR="005A2DAC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- </w:t>
      </w:r>
      <w:r w:rsidRPr="00E11BB8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C249E3" w:rsidRPr="00E11BB8">
        <w:rPr>
          <w:rFonts w:ascii="Tahoma" w:hAnsi="Tahoma" w:cs="Tahoma"/>
          <w:sz w:val="18"/>
          <w:szCs w:val="18"/>
          <w:lang w:val="ru-RU"/>
        </w:rPr>
        <w:t xml:space="preserve">раст 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од </w:t>
      </w:r>
      <w:r w:rsidR="00715D3A" w:rsidRPr="00E11BB8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>,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3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%, док је у подручју </w:t>
      </w:r>
      <w:r w:rsidR="00431EFB" w:rsidRPr="00E11BB8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забиљежен пад 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броја запослених 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3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>,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1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E11BB8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7F09DE" w:rsidRPr="00E11BB8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846676" w:rsidRPr="00E11BB8" w:rsidRDefault="008466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17306E" w:rsidRPr="00E11BB8" w:rsidRDefault="00B61FD5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E11BB8">
        <w:rPr>
          <w:rFonts w:ascii="Tahoma" w:hAnsi="Tahoma" w:cs="Tahoma"/>
          <w:b/>
          <w:sz w:val="28"/>
          <w:szCs w:val="28"/>
          <w:lang w:val="bs-Cyrl-BA"/>
        </w:rPr>
        <w:t>П</w:t>
      </w:r>
      <w:r w:rsidR="0017306E" w:rsidRPr="00E11BB8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E11BB8">
        <w:rPr>
          <w:rFonts w:ascii="Tahoma" w:hAnsi="Tahoma" w:cs="Tahoma"/>
          <w:b/>
          <w:sz w:val="28"/>
          <w:szCs w:val="28"/>
          <w:lang w:val="sr-Cyrl-BA"/>
        </w:rPr>
        <w:t xml:space="preserve"> (у</w:t>
      </w:r>
      <w:r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E11BB8">
        <w:rPr>
          <w:rFonts w:ascii="Tahoma" w:hAnsi="Tahoma" w:cs="Tahoma"/>
          <w:b/>
          <w:sz w:val="28"/>
          <w:szCs w:val="28"/>
          <w:lang w:val="sr-Cyrl-CS"/>
        </w:rPr>
        <w:t>периоду</w:t>
      </w:r>
      <w:r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E11BB8">
        <w:rPr>
          <w:rFonts w:ascii="Tahoma" w:hAnsi="Tahoma" w:cs="Tahoma"/>
          <w:b/>
          <w:sz w:val="28"/>
          <w:szCs w:val="28"/>
        </w:rPr>
        <w:t>I</w:t>
      </w:r>
      <w:r w:rsidRPr="00E11BB8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C80EE0" w:rsidRPr="00E11BB8">
        <w:rPr>
          <w:rFonts w:ascii="Tahoma" w:hAnsi="Tahoma" w:cs="Tahoma"/>
          <w:b/>
          <w:sz w:val="28"/>
          <w:szCs w:val="28"/>
        </w:rPr>
        <w:t>X</w:t>
      </w:r>
      <w:r w:rsidRPr="00E11BB8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Pr="00E11BB8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E11BB8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E11BB8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E11BB8">
        <w:rPr>
          <w:rFonts w:ascii="Tahoma" w:hAnsi="Tahoma" w:cs="Tahoma"/>
          <w:b/>
          <w:sz w:val="28"/>
          <w:szCs w:val="28"/>
          <w:lang w:val="ru-RU"/>
        </w:rPr>
        <w:t>,</w:t>
      </w:r>
      <w:r w:rsidR="001D2625" w:rsidRPr="00E11BB8">
        <w:rPr>
          <w:rFonts w:ascii="Tahoma" w:hAnsi="Tahoma" w:cs="Tahoma"/>
          <w:b/>
          <w:sz w:val="28"/>
          <w:szCs w:val="28"/>
        </w:rPr>
        <w:t>1</w:t>
      </w:r>
      <w:r w:rsidR="005E1630" w:rsidRPr="00E11BB8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E11BB8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E11BB8">
        <w:rPr>
          <w:rFonts w:ascii="Tahoma" w:hAnsi="Tahoma" w:cs="Tahoma"/>
          <w:sz w:val="24"/>
          <w:szCs w:val="24"/>
          <w:lang w:val="hr-HR"/>
        </w:rPr>
        <w:t>(I</w:t>
      </w:r>
      <w:r w:rsidR="004A3DCE" w:rsidRPr="00E11BB8">
        <w:rPr>
          <w:rFonts w:ascii="Tahoma" w:hAnsi="Tahoma" w:cs="Tahoma"/>
          <w:sz w:val="24"/>
          <w:szCs w:val="24"/>
          <w:lang w:val="hr-HR"/>
        </w:rPr>
        <w:t>-</w:t>
      </w:r>
      <w:r w:rsidR="00C80EE0" w:rsidRPr="00E11BB8">
        <w:rPr>
          <w:rFonts w:ascii="Tahoma" w:hAnsi="Tahoma" w:cs="Tahoma"/>
          <w:sz w:val="24"/>
          <w:szCs w:val="24"/>
          <w:lang w:val="hr-HR"/>
        </w:rPr>
        <w:t>X</w:t>
      </w:r>
      <w:r w:rsidRPr="00E11BB8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E11BB8">
        <w:rPr>
          <w:rFonts w:ascii="Tahoma" w:hAnsi="Tahoma" w:cs="Tahoma"/>
          <w:sz w:val="24"/>
          <w:szCs w:val="24"/>
          <w:lang w:val="hr-HR"/>
        </w:rPr>
        <w:t>-</w:t>
      </w:r>
      <w:r w:rsidR="00C80EE0" w:rsidRPr="00E11BB8">
        <w:rPr>
          <w:rFonts w:ascii="Tahoma" w:hAnsi="Tahoma" w:cs="Tahoma"/>
          <w:sz w:val="24"/>
          <w:szCs w:val="24"/>
          <w:lang w:val="hr-HR"/>
        </w:rPr>
        <w:t>X</w:t>
      </w:r>
      <w:r w:rsidRPr="00E11BB8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E11BB8">
        <w:rPr>
          <w:rFonts w:ascii="Tahoma" w:hAnsi="Tahoma" w:cs="Tahoma"/>
          <w:sz w:val="24"/>
          <w:szCs w:val="24"/>
          <w:lang w:val="sr-Cyrl-CS"/>
        </w:rPr>
        <w:t>.</w:t>
      </w:r>
      <w:r w:rsidRPr="00E11BB8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E11BB8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="00B040ED" w:rsidRPr="00E11BB8">
        <w:rPr>
          <w:rFonts w:ascii="Tahoma" w:hAnsi="Tahoma" w:cs="Tahoma"/>
          <w:sz w:val="24"/>
          <w:szCs w:val="24"/>
        </w:rPr>
        <w:t>1</w:t>
      </w:r>
      <w:r w:rsidR="00C80EE0" w:rsidRPr="00E11BB8">
        <w:rPr>
          <w:rFonts w:ascii="Tahoma" w:hAnsi="Tahoma" w:cs="Tahoma"/>
          <w:sz w:val="24"/>
          <w:szCs w:val="24"/>
          <w:lang w:val="sr-Cyrl-BA"/>
        </w:rPr>
        <w:t>8</w:t>
      </w:r>
      <w:r w:rsidRPr="00E11BB8">
        <w:rPr>
          <w:rFonts w:ascii="Tahoma" w:hAnsi="Tahoma" w:cs="Tahoma"/>
          <w:sz w:val="24"/>
          <w:szCs w:val="24"/>
          <w:lang w:val="ru-RU"/>
        </w:rPr>
        <w:t>,</w:t>
      </w:r>
      <w:r w:rsidR="001D2625" w:rsidRPr="00E11BB8">
        <w:rPr>
          <w:rFonts w:ascii="Tahoma" w:hAnsi="Tahoma" w:cs="Tahoma"/>
          <w:sz w:val="24"/>
          <w:szCs w:val="24"/>
        </w:rPr>
        <w:t>5</w:t>
      </w:r>
      <w:r w:rsidRPr="00E11BB8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У оквиру 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>укупно остварен</w:t>
      </w:r>
      <w:r w:rsidR="00211CC7" w:rsidRPr="00E11BB8">
        <w:rPr>
          <w:rFonts w:ascii="Tahoma" w:hAnsi="Tahoma" w:cs="Tahoma"/>
          <w:sz w:val="18"/>
          <w:szCs w:val="18"/>
          <w:lang w:val="bs-Cyrl-BA"/>
        </w:rPr>
        <w:t>е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робне размјене </w:t>
      </w:r>
      <w:r w:rsidRPr="00E11BB8">
        <w:rPr>
          <w:rFonts w:ascii="Tahoma" w:hAnsi="Tahoma" w:cs="Tahoma"/>
          <w:sz w:val="18"/>
          <w:szCs w:val="18"/>
          <w:lang w:val="sr-Cyrl-BA"/>
        </w:rPr>
        <w:t>Р</w:t>
      </w:r>
      <w:r w:rsidRPr="00E11BB8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Српске 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са иностранством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>октобру</w:t>
      </w:r>
      <w:r w:rsidR="00C80EE0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ове године, проценат покривености увоза извозом износио је </w:t>
      </w:r>
      <w:r w:rsidR="00A57853" w:rsidRPr="00E11BB8">
        <w:rPr>
          <w:rFonts w:ascii="Tahoma" w:hAnsi="Tahoma" w:cs="Tahoma"/>
          <w:sz w:val="18"/>
          <w:szCs w:val="18"/>
          <w:lang w:val="sr-Cyrl-BA"/>
        </w:rPr>
        <w:t>5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>5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C80EE0" w:rsidRPr="00E11BB8">
        <w:rPr>
          <w:rFonts w:ascii="Tahoma" w:hAnsi="Tahoma" w:cs="Tahoma"/>
          <w:sz w:val="18"/>
          <w:szCs w:val="18"/>
          <w:lang w:val="sr-Cyrl-BA"/>
        </w:rPr>
        <w:t>7</w:t>
      </w:r>
      <w:r w:rsidRPr="00E11BB8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У 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 xml:space="preserve">октобру 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>2011. године, остварен је извоз у вриједности 2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>21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милион</w:t>
      </w:r>
      <w:r w:rsidR="00E053E5" w:rsidRPr="00E11BB8">
        <w:rPr>
          <w:rFonts w:ascii="Tahoma" w:hAnsi="Tahoma" w:cs="Tahoma"/>
          <w:sz w:val="18"/>
          <w:szCs w:val="18"/>
          <w:lang w:val="sr-Cyrl-BA"/>
        </w:rPr>
        <w:t>а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КМ и увоз у вриједности од 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 xml:space="preserve">397 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>милиона КМ.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E11BB8" w:rsidRDefault="0017306E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B61FD5" w:rsidRPr="00E11BB8">
        <w:rPr>
          <w:rFonts w:ascii="Tahoma" w:hAnsi="Tahoma" w:cs="Tahoma"/>
          <w:sz w:val="18"/>
          <w:szCs w:val="18"/>
          <w:lang w:val="sr-Cyrl-BA"/>
        </w:rPr>
        <w:t xml:space="preserve">периоду </w:t>
      </w:r>
      <w:r w:rsidRPr="00E11BB8">
        <w:rPr>
          <w:rFonts w:ascii="Tahoma" w:hAnsi="Tahoma" w:cs="Tahoma"/>
          <w:sz w:val="18"/>
          <w:szCs w:val="18"/>
          <w:lang w:val="sr-Cyrl-BA"/>
        </w:rPr>
        <w:t>јануар</w:t>
      </w:r>
      <w:r w:rsidR="00B61FD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E11BB8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 xml:space="preserve">октобар 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2011. године остварен је извоз у вриједности од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2 </w:t>
      </w:r>
      <w:r w:rsidR="004A3DCE" w:rsidRPr="00E11BB8">
        <w:rPr>
          <w:rFonts w:ascii="Tahoma" w:hAnsi="Tahoma" w:cs="Tahoma"/>
          <w:sz w:val="18"/>
          <w:szCs w:val="18"/>
          <w:lang w:val="sr-Cyrl-CS"/>
        </w:rPr>
        <w:t>милијард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е</w:t>
      </w:r>
      <w:r w:rsidR="00A2380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132 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>милион</w:t>
      </w:r>
      <w:r w:rsidR="00584618" w:rsidRPr="00E11BB8">
        <w:rPr>
          <w:rFonts w:ascii="Tahoma" w:hAnsi="Tahoma" w:cs="Tahoma"/>
          <w:sz w:val="18"/>
          <w:szCs w:val="18"/>
        </w:rPr>
        <w:t>a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КМ, што је за 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8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5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>период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претходне године. Увоз је, у истом периоду, износио 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E9755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E11BB8">
        <w:rPr>
          <w:rFonts w:ascii="Tahoma" w:hAnsi="Tahoma" w:cs="Tahoma"/>
          <w:sz w:val="18"/>
          <w:szCs w:val="18"/>
          <w:lang w:val="sr-Cyrl-CS"/>
        </w:rPr>
        <w:t>милијард</w:t>
      </w:r>
      <w:r w:rsidR="00E9755F" w:rsidRPr="00E11BB8">
        <w:rPr>
          <w:rFonts w:ascii="Tahoma" w:hAnsi="Tahoma" w:cs="Tahoma"/>
          <w:sz w:val="18"/>
          <w:szCs w:val="18"/>
          <w:lang w:val="sr-Cyrl-CS"/>
        </w:rPr>
        <w:t>е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 733</w:t>
      </w:r>
      <w:r w:rsidR="00A57853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>милиона КМ, што је за 1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2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7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период </w:t>
      </w:r>
      <w:r w:rsidRPr="00E11BB8">
        <w:rPr>
          <w:rFonts w:ascii="Tahoma" w:hAnsi="Tahoma" w:cs="Tahoma"/>
          <w:sz w:val="18"/>
          <w:szCs w:val="18"/>
          <w:lang w:val="sr-Cyrl-CS"/>
        </w:rPr>
        <w:t>претходне године.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E11BB8" w:rsidRDefault="00B61FD5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E11BB8">
        <w:rPr>
          <w:rFonts w:ascii="Tahoma" w:hAnsi="Tahoma" w:cs="Tahoma"/>
          <w:sz w:val="18"/>
          <w:szCs w:val="18"/>
          <w:lang w:val="ru-RU"/>
        </w:rPr>
        <w:t xml:space="preserve">Проценат покривености увоза извозом за </w:t>
      </w:r>
      <w:r w:rsidR="005E0F42" w:rsidRPr="00E11BB8">
        <w:rPr>
          <w:rFonts w:ascii="Tahoma" w:hAnsi="Tahoma" w:cs="Tahoma"/>
          <w:sz w:val="18"/>
          <w:szCs w:val="18"/>
          <w:lang w:val="ru-RU"/>
        </w:rPr>
        <w:t xml:space="preserve">првих </w:t>
      </w:r>
      <w:r w:rsidR="001D2625" w:rsidRPr="00E11BB8">
        <w:rPr>
          <w:rFonts w:ascii="Tahoma" w:hAnsi="Tahoma" w:cs="Tahoma"/>
          <w:sz w:val="18"/>
          <w:szCs w:val="18"/>
          <w:lang w:val="bs-Cyrl-BA"/>
        </w:rPr>
        <w:t>десет</w:t>
      </w:r>
      <w:r w:rsidR="003B0DFC" w:rsidRPr="00E11BB8">
        <w:rPr>
          <w:rFonts w:ascii="Tahoma" w:hAnsi="Tahoma" w:cs="Tahoma"/>
          <w:sz w:val="18"/>
          <w:szCs w:val="18"/>
          <w:lang w:val="bs-Cyrl-BA"/>
        </w:rPr>
        <w:t xml:space="preserve"> </w:t>
      </w:r>
      <w:r w:rsidR="004A3DCE" w:rsidRPr="00E11BB8">
        <w:rPr>
          <w:rFonts w:ascii="Tahoma" w:hAnsi="Tahoma" w:cs="Tahoma"/>
          <w:sz w:val="18"/>
          <w:szCs w:val="18"/>
          <w:lang w:val="ru-RU"/>
        </w:rPr>
        <w:t>мјесеци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 текуће године износио је </w:t>
      </w:r>
      <w:r w:rsidR="00E9755F" w:rsidRPr="00E11BB8">
        <w:rPr>
          <w:rFonts w:ascii="Tahoma" w:hAnsi="Tahoma" w:cs="Tahoma"/>
          <w:sz w:val="18"/>
          <w:szCs w:val="18"/>
          <w:lang w:val="ru-RU"/>
        </w:rPr>
        <w:t>5</w:t>
      </w:r>
      <w:r w:rsidR="003B0DFC" w:rsidRPr="00E11BB8">
        <w:rPr>
          <w:rFonts w:ascii="Tahoma" w:hAnsi="Tahoma" w:cs="Tahoma"/>
          <w:sz w:val="18"/>
          <w:szCs w:val="18"/>
          <w:lang w:val="ru-RU"/>
        </w:rPr>
        <w:t>7</w:t>
      </w:r>
      <w:r w:rsidRPr="00E11BB8">
        <w:rPr>
          <w:rFonts w:ascii="Tahoma" w:hAnsi="Tahoma" w:cs="Tahoma"/>
          <w:sz w:val="18"/>
          <w:szCs w:val="18"/>
          <w:lang w:val="ru-RU"/>
        </w:rPr>
        <w:t>,</w:t>
      </w:r>
      <w:r w:rsidR="001D2625" w:rsidRPr="00E11BB8">
        <w:rPr>
          <w:rFonts w:ascii="Tahoma" w:hAnsi="Tahoma" w:cs="Tahoma"/>
          <w:sz w:val="18"/>
          <w:szCs w:val="18"/>
          <w:lang w:val="ru-RU"/>
        </w:rPr>
        <w:t>1</w:t>
      </w:r>
      <w:r w:rsidRPr="00E11BB8">
        <w:rPr>
          <w:rFonts w:ascii="Tahoma" w:hAnsi="Tahoma" w:cs="Tahoma"/>
          <w:sz w:val="18"/>
          <w:szCs w:val="18"/>
          <w:lang w:val="ru-RU"/>
        </w:rPr>
        <w:t xml:space="preserve">%, док је 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спољнотрговински робни дефицит износио </w:t>
      </w:r>
      <w:r w:rsidR="00A57853" w:rsidRPr="00E11BB8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1D2625" w:rsidRPr="00E11BB8">
        <w:rPr>
          <w:rFonts w:ascii="Tahoma" w:hAnsi="Tahoma" w:cs="Tahoma"/>
          <w:sz w:val="18"/>
          <w:szCs w:val="18"/>
          <w:lang w:val="ru-RU"/>
        </w:rPr>
        <w:t>601</w:t>
      </w:r>
      <w:r w:rsidR="003B0DFC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>милиона КМ.</w:t>
      </w:r>
    </w:p>
    <w:p w:rsidR="00E053E5" w:rsidRPr="00E11BB8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E11BB8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E11BB8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E11BB8">
        <w:rPr>
          <w:rFonts w:ascii="Tahoma" w:hAnsi="Tahoma" w:cs="Tahoma"/>
          <w:szCs w:val="18"/>
        </w:rPr>
        <w:t>e</w:t>
      </w:r>
      <w:r w:rsidRPr="00E11BB8">
        <w:rPr>
          <w:rFonts w:ascii="Tahoma" w:hAnsi="Tahoma" w:cs="Tahoma"/>
          <w:szCs w:val="18"/>
          <w:lang w:val="ru-RU"/>
        </w:rPr>
        <w:t xml:space="preserve"> Српск</w:t>
      </w:r>
      <w:r w:rsidRPr="00E11BB8">
        <w:rPr>
          <w:rFonts w:ascii="Tahoma" w:hAnsi="Tahoma" w:cs="Tahoma"/>
          <w:szCs w:val="18"/>
        </w:rPr>
        <w:t>e</w:t>
      </w:r>
      <w:r w:rsidRPr="00E11BB8">
        <w:rPr>
          <w:rFonts w:ascii="Tahoma" w:hAnsi="Tahoma" w:cs="Tahoma"/>
          <w:szCs w:val="18"/>
          <w:lang w:val="ru-RU"/>
        </w:rPr>
        <w:t xml:space="preserve"> с</w:t>
      </w:r>
      <w:r w:rsidR="00211CC7" w:rsidRPr="00E11BB8">
        <w:rPr>
          <w:rFonts w:ascii="Tahoma" w:hAnsi="Tahoma" w:cs="Tahoma"/>
          <w:szCs w:val="18"/>
          <w:lang w:val="ru-RU"/>
        </w:rPr>
        <w:t>а</w:t>
      </w:r>
      <w:r w:rsidRPr="00E11BB8">
        <w:rPr>
          <w:rFonts w:ascii="Tahoma" w:hAnsi="Tahoma" w:cs="Tahoma"/>
          <w:szCs w:val="18"/>
          <w:lang w:val="ru-RU"/>
        </w:rPr>
        <w:t xml:space="preserve"> иностранством, у </w:t>
      </w:r>
      <w:r w:rsidR="00B61FD5" w:rsidRPr="00E11BB8">
        <w:rPr>
          <w:rFonts w:ascii="Tahoma" w:hAnsi="Tahoma" w:cs="Tahoma"/>
          <w:szCs w:val="18"/>
          <w:lang w:val="ru-RU"/>
        </w:rPr>
        <w:t xml:space="preserve">периоду </w:t>
      </w:r>
      <w:r w:rsidRPr="00E11BB8">
        <w:rPr>
          <w:rFonts w:ascii="Tahoma" w:hAnsi="Tahoma" w:cs="Tahoma"/>
          <w:szCs w:val="18"/>
          <w:lang w:val="ru-RU"/>
        </w:rPr>
        <w:t>јануар</w:t>
      </w:r>
      <w:r w:rsidR="00B61FD5" w:rsidRPr="00E11BB8">
        <w:rPr>
          <w:rFonts w:ascii="Tahoma" w:hAnsi="Tahoma" w:cs="Tahoma"/>
          <w:szCs w:val="18"/>
          <w:lang w:val="ru-RU"/>
        </w:rPr>
        <w:t xml:space="preserve"> </w:t>
      </w:r>
      <w:r w:rsidR="003B0DFC" w:rsidRPr="00E11BB8">
        <w:rPr>
          <w:rFonts w:ascii="Tahoma" w:hAnsi="Tahoma" w:cs="Tahoma"/>
          <w:szCs w:val="18"/>
          <w:lang w:val="ru-RU"/>
        </w:rPr>
        <w:t>–</w:t>
      </w:r>
      <w:r w:rsidR="008D6AC0" w:rsidRPr="00E11BB8">
        <w:rPr>
          <w:rFonts w:ascii="Tahoma" w:hAnsi="Tahoma" w:cs="Tahoma"/>
          <w:szCs w:val="18"/>
          <w:lang w:val="ru-RU"/>
        </w:rPr>
        <w:t xml:space="preserve"> </w:t>
      </w:r>
      <w:r w:rsidR="001D2625" w:rsidRPr="00E11BB8">
        <w:rPr>
          <w:rFonts w:ascii="Tahoma" w:hAnsi="Tahoma" w:cs="Tahoma"/>
          <w:szCs w:val="18"/>
          <w:lang w:val="ru-RU"/>
        </w:rPr>
        <w:t>октобар</w:t>
      </w:r>
      <w:r w:rsidR="00C80EE0" w:rsidRPr="00E11BB8">
        <w:rPr>
          <w:rFonts w:ascii="Tahoma" w:hAnsi="Tahoma" w:cs="Tahoma"/>
          <w:szCs w:val="18"/>
          <w:lang w:val="ru-RU"/>
        </w:rPr>
        <w:t xml:space="preserve"> </w:t>
      </w:r>
      <w:r w:rsidRPr="00E11BB8">
        <w:rPr>
          <w:rFonts w:ascii="Tahoma" w:hAnsi="Tahoma" w:cs="Tahoma"/>
          <w:szCs w:val="18"/>
          <w:lang w:val="sr-Cyrl-CS"/>
        </w:rPr>
        <w:t>2011. године, највише се извозило у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 w:rsidR="00B040ED" w:rsidRPr="00E11BB8">
        <w:rPr>
          <w:rFonts w:ascii="Tahoma" w:hAnsi="Tahoma" w:cs="Tahoma"/>
          <w:szCs w:val="18"/>
          <w:lang w:val="sr-Cyrl-CS"/>
        </w:rPr>
        <w:t>Србију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и то у вриједности од </w:t>
      </w:r>
      <w:r w:rsidR="001D2625" w:rsidRPr="00E11BB8">
        <w:rPr>
          <w:rFonts w:ascii="Tahoma" w:hAnsi="Tahoma" w:cs="Tahoma"/>
          <w:szCs w:val="18"/>
          <w:lang w:val="sr-Cyrl-CS"/>
        </w:rPr>
        <w:t>389</w:t>
      </w:r>
      <w:r w:rsidRPr="00E11BB8">
        <w:rPr>
          <w:rFonts w:ascii="Tahoma" w:hAnsi="Tahoma" w:cs="Tahoma"/>
          <w:szCs w:val="18"/>
          <w:lang w:val="sr-Cyrl-CS"/>
        </w:rPr>
        <w:t xml:space="preserve"> милиона КМ, </w:t>
      </w:r>
      <w:r w:rsidR="00E053E5" w:rsidRPr="00E11BB8">
        <w:rPr>
          <w:rFonts w:ascii="Tahoma" w:hAnsi="Tahoma" w:cs="Tahoma"/>
          <w:szCs w:val="18"/>
          <w:lang w:val="sr-Cyrl-CS"/>
        </w:rPr>
        <w:t>односно</w:t>
      </w:r>
      <w:r w:rsidRPr="00E11BB8">
        <w:rPr>
          <w:rFonts w:ascii="Tahoma" w:hAnsi="Tahoma" w:cs="Tahoma"/>
          <w:szCs w:val="18"/>
          <w:lang w:val="sr-Cyrl-CS"/>
        </w:rPr>
        <w:t xml:space="preserve"> 1</w:t>
      </w:r>
      <w:r w:rsidR="001D2625" w:rsidRPr="00E11BB8">
        <w:rPr>
          <w:rFonts w:ascii="Tahoma" w:hAnsi="Tahoma" w:cs="Tahoma"/>
          <w:szCs w:val="18"/>
          <w:lang w:val="sr-Cyrl-CS"/>
        </w:rPr>
        <w:t>8</w:t>
      </w:r>
      <w:r w:rsidRPr="00E11BB8">
        <w:rPr>
          <w:rFonts w:ascii="Tahoma" w:hAnsi="Tahoma" w:cs="Tahoma"/>
          <w:szCs w:val="18"/>
          <w:lang w:val="sr-Cyrl-CS"/>
        </w:rPr>
        <w:t>,</w:t>
      </w:r>
      <w:r w:rsidR="001D2625" w:rsidRPr="00E11BB8">
        <w:rPr>
          <w:rFonts w:ascii="Tahoma" w:hAnsi="Tahoma" w:cs="Tahoma"/>
          <w:szCs w:val="18"/>
          <w:lang w:val="sr-Cyrl-CS"/>
        </w:rPr>
        <w:t>3</w:t>
      </w:r>
      <w:r w:rsidRPr="00E11BB8">
        <w:rPr>
          <w:rFonts w:ascii="Tahoma" w:hAnsi="Tahoma" w:cs="Tahoma"/>
          <w:szCs w:val="18"/>
          <w:lang w:val="sr-Cyrl-CS"/>
        </w:rPr>
        <w:t>%</w:t>
      </w:r>
      <w:r w:rsidRPr="00E11BB8">
        <w:rPr>
          <w:rFonts w:ascii="Tahoma" w:hAnsi="Tahoma" w:cs="Tahoma"/>
          <w:szCs w:val="18"/>
          <w:lang w:val="ru-RU"/>
        </w:rPr>
        <w:t xml:space="preserve">, </w:t>
      </w:r>
      <w:r w:rsidRPr="00E11BB8">
        <w:rPr>
          <w:rFonts w:ascii="Tahoma" w:hAnsi="Tahoma" w:cs="Tahoma"/>
          <w:szCs w:val="18"/>
          <w:lang w:val="sr-Cyrl-CS"/>
        </w:rPr>
        <w:t xml:space="preserve">те у </w:t>
      </w:r>
      <w:r w:rsidR="00B040ED" w:rsidRPr="00E11BB8">
        <w:rPr>
          <w:rFonts w:ascii="Tahoma" w:hAnsi="Tahoma" w:cs="Tahoma"/>
          <w:szCs w:val="18"/>
          <w:lang w:val="sr-Cyrl-CS"/>
        </w:rPr>
        <w:t>Италију</w:t>
      </w:r>
      <w:r w:rsidRPr="00E11BB8">
        <w:rPr>
          <w:rFonts w:ascii="Tahoma" w:hAnsi="Tahoma" w:cs="Tahoma"/>
          <w:szCs w:val="18"/>
          <w:lang w:val="sr-Cyrl-CS"/>
        </w:rPr>
        <w:t xml:space="preserve">, у вриједности од </w:t>
      </w:r>
      <w:r w:rsidR="001D2625" w:rsidRPr="00E11BB8">
        <w:rPr>
          <w:rFonts w:ascii="Tahoma" w:hAnsi="Tahoma" w:cs="Tahoma"/>
          <w:szCs w:val="18"/>
          <w:lang w:val="sr-Cyrl-CS"/>
        </w:rPr>
        <w:t>307</w:t>
      </w:r>
      <w:r w:rsidRPr="00E11BB8">
        <w:rPr>
          <w:rFonts w:ascii="Tahoma" w:hAnsi="Tahoma" w:cs="Tahoma"/>
          <w:szCs w:val="18"/>
          <w:lang w:val="sr-Cyrl-CS"/>
        </w:rPr>
        <w:t xml:space="preserve"> милиона </w:t>
      </w:r>
      <w:r w:rsidR="00B040ED" w:rsidRPr="00E11BB8">
        <w:rPr>
          <w:rFonts w:ascii="Tahoma" w:hAnsi="Tahoma" w:cs="Tahoma"/>
          <w:szCs w:val="18"/>
          <w:lang w:val="sr-Cyrl-CS"/>
        </w:rPr>
        <w:t>КМ, односно 1</w:t>
      </w:r>
      <w:r w:rsidR="003B0DFC" w:rsidRPr="00E11BB8">
        <w:rPr>
          <w:rFonts w:ascii="Tahoma" w:hAnsi="Tahoma" w:cs="Tahoma"/>
          <w:szCs w:val="18"/>
          <w:lang w:val="sr-Cyrl-CS"/>
        </w:rPr>
        <w:t>4</w:t>
      </w:r>
      <w:r w:rsidR="008D6AC0" w:rsidRPr="00E11BB8">
        <w:rPr>
          <w:rFonts w:ascii="Tahoma" w:hAnsi="Tahoma" w:cs="Tahoma"/>
          <w:szCs w:val="18"/>
          <w:lang w:val="sr-Cyrl-CS"/>
        </w:rPr>
        <w:t>,</w:t>
      </w:r>
      <w:r w:rsidR="00C80EE0" w:rsidRPr="00E11BB8">
        <w:rPr>
          <w:rFonts w:ascii="Tahoma" w:hAnsi="Tahoma" w:cs="Tahoma"/>
          <w:szCs w:val="18"/>
          <w:lang w:val="sr-Cyrl-CS"/>
        </w:rPr>
        <w:t>4</w:t>
      </w:r>
      <w:r w:rsidRPr="00E11BB8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17306E" w:rsidRPr="00E11BB8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E11BB8">
        <w:rPr>
          <w:rFonts w:ascii="Tahoma" w:hAnsi="Tahoma" w:cs="Tahoma"/>
          <w:sz w:val="18"/>
          <w:szCs w:val="18"/>
          <w:lang w:val="sr-Cyrl-CS"/>
        </w:rPr>
        <w:t xml:space="preserve">У истом 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>периоду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E11BB8">
        <w:rPr>
          <w:rFonts w:ascii="Tahoma" w:hAnsi="Tahoma" w:cs="Tahoma"/>
          <w:sz w:val="18"/>
          <w:szCs w:val="18"/>
          <w:lang w:val="sr-Cyrl-BA"/>
        </w:rPr>
        <w:t>н</w:t>
      </w:r>
      <w:r w:rsidRPr="00E11BB8">
        <w:rPr>
          <w:rFonts w:ascii="Tahoma" w:hAnsi="Tahoma" w:cs="Tahoma"/>
          <w:sz w:val="18"/>
          <w:szCs w:val="18"/>
          <w:lang w:val="sr-Cyrl-CS"/>
        </w:rPr>
        <w:t>ајвише се увозило и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з Русије и то у вриједности од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милијард</w:t>
      </w:r>
      <w:r w:rsidR="00C42824">
        <w:rPr>
          <w:rFonts w:ascii="Tahoma" w:hAnsi="Tahoma" w:cs="Tahoma"/>
          <w:sz w:val="18"/>
          <w:szCs w:val="18"/>
          <w:lang w:val="sr-Cyrl-CS"/>
        </w:rPr>
        <w:t>у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 14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ми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лиона КМ, </w:t>
      </w:r>
      <w:r w:rsidR="00E053E5" w:rsidRPr="00E11BB8">
        <w:rPr>
          <w:rFonts w:ascii="Tahoma" w:hAnsi="Tahoma" w:cs="Tahoma"/>
          <w:sz w:val="18"/>
          <w:szCs w:val="18"/>
          <w:lang w:val="sr-Cyrl-CS"/>
        </w:rPr>
        <w:t xml:space="preserve">односно 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E11BB8">
        <w:rPr>
          <w:rFonts w:ascii="Tahoma" w:hAnsi="Tahoma" w:cs="Tahoma"/>
          <w:sz w:val="18"/>
          <w:szCs w:val="18"/>
          <w:lang w:val="sr-Cyrl-CS"/>
        </w:rPr>
        <w:t>7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2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6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>9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1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милиона КМ, односно 1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>8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5</w:t>
      </w:r>
      <w:r w:rsidRPr="00E11BB8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="008D6AC0" w:rsidRPr="00E11BB8">
        <w:rPr>
          <w:rFonts w:ascii="Tahoma" w:hAnsi="Tahoma" w:cs="Tahoma"/>
          <w:bCs/>
          <w:sz w:val="18"/>
          <w:szCs w:val="18"/>
          <w:lang w:val="ru-RU"/>
        </w:rPr>
        <w:t xml:space="preserve">периоду </w:t>
      </w:r>
      <w:r w:rsidRPr="00E11BB8">
        <w:rPr>
          <w:rFonts w:ascii="Tahoma" w:hAnsi="Tahoma" w:cs="Tahoma"/>
          <w:sz w:val="18"/>
          <w:szCs w:val="18"/>
          <w:lang w:val="ru-RU"/>
        </w:rPr>
        <w:t>јануар</w:t>
      </w:r>
      <w:r w:rsidR="008D6AC0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E11BB8">
        <w:rPr>
          <w:rFonts w:ascii="Tahoma" w:hAnsi="Tahoma" w:cs="Tahoma"/>
          <w:sz w:val="18"/>
          <w:szCs w:val="18"/>
          <w:lang w:val="ru-RU"/>
        </w:rPr>
        <w:t>–</w:t>
      </w:r>
      <w:r w:rsidR="008D6AC0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ru-RU"/>
        </w:rPr>
        <w:t>октобар</w:t>
      </w:r>
      <w:r w:rsidR="00C80EE0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2011. године, највеће учешће у извозу остваруј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>у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53E5" w:rsidRPr="00E11BB8">
        <w:rPr>
          <w:rFonts w:ascii="Tahoma" w:hAnsi="Tahoma" w:cs="Tahoma"/>
          <w:sz w:val="18"/>
          <w:szCs w:val="18"/>
          <w:lang w:val="ru-RU"/>
        </w:rPr>
        <w:t>нафтна уља и уља добиј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>ена од битуменских минерала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 xml:space="preserve"> (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>осим сирових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E11BB8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311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E11BB8">
        <w:rPr>
          <w:rFonts w:ascii="Tahoma" w:hAnsi="Tahoma" w:cs="Tahoma"/>
          <w:sz w:val="18"/>
          <w:szCs w:val="18"/>
          <w:lang w:val="sr-Cyrl-CS"/>
        </w:rPr>
        <w:t>милиона КМ, што износи 1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4</w:t>
      </w:r>
      <w:r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A13AB5" w:rsidRPr="00E11BB8">
        <w:rPr>
          <w:rFonts w:ascii="Tahoma" w:hAnsi="Tahoma" w:cs="Tahoma"/>
          <w:sz w:val="18"/>
          <w:szCs w:val="18"/>
          <w:lang w:val="sr-Cyrl-CS"/>
        </w:rPr>
        <w:t>6</w:t>
      </w:r>
      <w:r w:rsidRPr="00E11BB8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E11BB8">
        <w:rPr>
          <w:rFonts w:ascii="Tahoma" w:hAnsi="Tahoma" w:cs="Tahoma"/>
          <w:sz w:val="18"/>
          <w:szCs w:val="18"/>
          <w:lang w:val="sr-Cyrl-BA"/>
        </w:rPr>
        <w:t>н</w:t>
      </w:r>
      <w:r w:rsidRPr="00E11BB8">
        <w:rPr>
          <w:rFonts w:ascii="Tahoma" w:hAnsi="Tahoma" w:cs="Tahoma"/>
          <w:sz w:val="18"/>
          <w:szCs w:val="18"/>
          <w:lang w:val="ru-RU"/>
        </w:rPr>
        <w:t>афт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E11BB8">
        <w:rPr>
          <w:rFonts w:ascii="Tahoma" w:hAnsi="Tahoma" w:cs="Tahoma"/>
          <w:sz w:val="18"/>
          <w:szCs w:val="18"/>
          <w:lang w:val="ru-RU"/>
        </w:rPr>
        <w:t>уља добијена од битуменских минерала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E11BB8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E11BB8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A13AB5" w:rsidRPr="00E11BB8">
        <w:rPr>
          <w:rFonts w:ascii="Tahoma" w:hAnsi="Tahoma" w:cs="Tahoma"/>
          <w:sz w:val="18"/>
          <w:szCs w:val="18"/>
          <w:lang w:val="sr-Cyrl-BA"/>
        </w:rPr>
        <w:t>997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D6AC0" w:rsidRPr="00E11BB8">
        <w:rPr>
          <w:rFonts w:ascii="Tahoma" w:hAnsi="Tahoma" w:cs="Tahoma"/>
          <w:sz w:val="18"/>
          <w:szCs w:val="18"/>
          <w:lang w:val="sr-Cyrl-BA"/>
        </w:rPr>
        <w:t>милиона КМ, што износи 2</w:t>
      </w:r>
      <w:r w:rsidR="00A13AB5" w:rsidRPr="00E11BB8">
        <w:rPr>
          <w:rFonts w:ascii="Tahoma" w:hAnsi="Tahoma" w:cs="Tahoma"/>
          <w:sz w:val="18"/>
          <w:szCs w:val="18"/>
          <w:lang w:val="sr-Cyrl-BA"/>
        </w:rPr>
        <w:t>6</w:t>
      </w:r>
      <w:r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A13AB5" w:rsidRPr="00E11BB8">
        <w:rPr>
          <w:rFonts w:ascii="Tahoma" w:hAnsi="Tahoma" w:cs="Tahoma"/>
          <w:sz w:val="18"/>
          <w:szCs w:val="18"/>
          <w:lang w:val="sr-Cyrl-BA"/>
        </w:rPr>
        <w:t>7</w:t>
      </w:r>
      <w:r w:rsidRPr="00E11BB8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3B0DFC" w:rsidRPr="00E11BB8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9B294C" w:rsidRPr="00E11BB8" w:rsidRDefault="009B294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E11BB8" w:rsidRDefault="005D400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E11BB8" w:rsidRDefault="009712A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20.4pt;margin-top:8.05pt;width:61.05pt;height:19.75pt;z-index:251658240;mso-width-relative:margin;mso-height-relative:margin" stroked="f">
            <v:textbox style="mso-next-textbox:#_x0000_s1062">
              <w:txbxContent>
                <w:p w:rsidR="001D2625" w:rsidRPr="0078288A" w:rsidRDefault="001D2625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B6D76" w:rsidRPr="00E11BB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E11BB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E11BB8" w:rsidRDefault="00A13AB5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E11BB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E11BB8" w:rsidRDefault="009712A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  <w:r w:rsidRPr="009712A1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66.35pt;margin-top:2.75pt;width:36.15pt;height:16.85pt;z-index:251657216;mso-height-percent:200;mso-height-percent:200;mso-width-relative:margin;mso-height-relative:margin" stroked="f">
            <v:textbox style="mso-next-textbox:#_x0000_s1061;mso-fit-shape-to-text:t">
              <w:txbxContent>
                <w:p w:rsidR="001D2625" w:rsidRPr="0078288A" w:rsidRDefault="001D2625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9712A1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32.4pt;margin-top:2.7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1D2625" w:rsidRPr="0078288A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</w:p>
    <w:p w:rsidR="005E0301" w:rsidRPr="00E11BB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E11BB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E0301" w:rsidRPr="00E11BB8" w:rsidRDefault="000328B8" w:rsidP="00F8723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E11BB8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CE24D5" w:rsidRPr="00E11BB8">
        <w:rPr>
          <w:rFonts w:ascii="Tahoma" w:hAnsi="Tahoma" w:cs="Tahoma"/>
          <w:sz w:val="16"/>
          <w:szCs w:val="16"/>
          <w:lang w:val="ru-RU"/>
        </w:rPr>
        <w:t>2</w:t>
      </w:r>
      <w:r w:rsidR="005E0301" w:rsidRPr="00E11BB8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E11BB8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E11BB8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>воз по мјесецима у хиљ</w:t>
      </w:r>
      <w:r w:rsidR="005E0301" w:rsidRPr="00E11BB8">
        <w:rPr>
          <w:rFonts w:ascii="Tahoma" w:hAnsi="Tahoma" w:cs="Tahoma"/>
          <w:iCs/>
          <w:sz w:val="16"/>
          <w:szCs w:val="16"/>
          <w:lang w:val="sr-Cyrl-CS"/>
        </w:rPr>
        <w:t>адама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 w:rsidR="005E0301" w:rsidRPr="00E11BB8">
        <w:rPr>
          <w:rFonts w:ascii="Tahoma" w:hAnsi="Tahoma" w:cs="Tahoma"/>
          <w:iCs/>
          <w:sz w:val="16"/>
          <w:szCs w:val="16"/>
          <w:lang w:val="sr-Cyrl-CS"/>
        </w:rPr>
        <w:t>КМ</w:t>
      </w:r>
    </w:p>
    <w:p w:rsidR="00D11D2E" w:rsidRPr="00E11BB8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5D5311" w:rsidRPr="00E11BB8" w:rsidRDefault="005D531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FB757A" w:rsidRPr="00E11BB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FB757A" w:rsidRPr="00E11BB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46676" w:rsidRPr="00E11BB8" w:rsidRDefault="008466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46676" w:rsidRPr="00E11BB8" w:rsidRDefault="008466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FB757A" w:rsidRPr="00E11BB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F0147" w:rsidRPr="00E11BB8" w:rsidRDefault="008F0147" w:rsidP="003E5E54">
      <w:pPr>
        <w:rPr>
          <w:rFonts w:ascii="Tahoma" w:hAnsi="Tahoma" w:cs="Tahoma"/>
          <w:b/>
          <w:sz w:val="28"/>
          <w:szCs w:val="28"/>
          <w:lang w:val="ru-RU"/>
        </w:rPr>
      </w:pPr>
      <w:r w:rsidRPr="00E11BB8">
        <w:rPr>
          <w:rFonts w:ascii="Tahoma" w:hAnsi="Tahoma" w:cs="Tahoma"/>
          <w:b/>
          <w:sz w:val="28"/>
          <w:szCs w:val="28"/>
          <w:lang w:val="ru-RU"/>
        </w:rPr>
        <w:t xml:space="preserve">Промет у трговини на мало </w:t>
      </w:r>
      <w:r w:rsidR="0055242C" w:rsidRPr="00E11BB8">
        <w:rPr>
          <w:rFonts w:ascii="Tahoma" w:hAnsi="Tahoma" w:cs="Tahoma"/>
          <w:b/>
          <w:sz w:val="28"/>
          <w:szCs w:val="28"/>
          <w:lang w:val="sr-Cyrl-CS"/>
        </w:rPr>
        <w:t>већи</w:t>
      </w:r>
      <w:r w:rsidR="003823D5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5242C" w:rsidRPr="00E11BB8">
        <w:rPr>
          <w:rFonts w:ascii="Tahoma" w:hAnsi="Tahoma" w:cs="Tahoma"/>
          <w:b/>
          <w:sz w:val="28"/>
          <w:szCs w:val="28"/>
          <w:lang w:val="sr-Cyrl-CS"/>
        </w:rPr>
        <w:t>0,3</w:t>
      </w:r>
      <w:r w:rsidRPr="00E11BB8">
        <w:rPr>
          <w:rFonts w:ascii="Tahoma" w:hAnsi="Tahoma" w:cs="Tahoma"/>
          <w:b/>
          <w:sz w:val="28"/>
          <w:szCs w:val="28"/>
          <w:lang w:val="ru-RU"/>
        </w:rPr>
        <w:t>% (</w:t>
      </w:r>
      <w:r w:rsidR="00317BE9" w:rsidRPr="00E11BB8">
        <w:rPr>
          <w:rFonts w:ascii="Tahoma" w:hAnsi="Tahoma" w:cs="Tahoma"/>
          <w:b/>
          <w:sz w:val="28"/>
          <w:szCs w:val="28"/>
          <w:lang w:val="sr-Latn-CS"/>
        </w:rPr>
        <w:t>X</w:t>
      </w:r>
      <w:r w:rsidR="003823D5" w:rsidRPr="00E11BB8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E11BB8">
        <w:rPr>
          <w:rFonts w:ascii="Tahoma" w:hAnsi="Tahoma" w:cs="Tahoma"/>
          <w:b/>
          <w:sz w:val="28"/>
          <w:szCs w:val="28"/>
          <w:lang w:val="ru-RU"/>
        </w:rPr>
        <w:t>2011/</w:t>
      </w:r>
      <w:r w:rsidR="0055242C" w:rsidRPr="00E11BB8">
        <w:rPr>
          <w:rFonts w:ascii="Tahoma" w:hAnsi="Tahoma" w:cs="Tahoma"/>
          <w:b/>
          <w:sz w:val="28"/>
          <w:szCs w:val="28"/>
          <w:lang w:val="sr-Latn-CS"/>
        </w:rPr>
        <w:t>IX</w:t>
      </w:r>
      <w:r w:rsidRPr="00E11BB8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E11BB8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E11BB8">
        <w:rPr>
          <w:rFonts w:ascii="Tahoma" w:hAnsi="Tahoma" w:cs="Tahoma"/>
          <w:b/>
          <w:sz w:val="28"/>
          <w:szCs w:val="28"/>
          <w:lang w:val="ru-RU"/>
        </w:rPr>
        <w:t>.</w:t>
      </w:r>
      <w:r w:rsidRPr="00E11BB8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5B12F7" w:rsidRPr="00E11BB8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55242C" w:rsidRPr="00E11BB8" w:rsidRDefault="0055242C" w:rsidP="0055242C">
      <w:pPr>
        <w:pStyle w:val="BodyTextIndent3"/>
        <w:tabs>
          <w:tab w:val="left" w:pos="720"/>
        </w:tabs>
        <w:ind w:firstLine="0"/>
        <w:rPr>
          <w:rFonts w:ascii="Tahoma" w:hAnsi="Tahoma" w:cs="Tahoma"/>
          <w:bCs w:val="0"/>
          <w:szCs w:val="18"/>
          <w:lang w:val="ru-RU"/>
        </w:rPr>
      </w:pPr>
      <w:r w:rsidRPr="00E11BB8">
        <w:rPr>
          <w:rFonts w:ascii="Tahoma" w:hAnsi="Tahoma" w:cs="Tahoma"/>
          <w:bCs w:val="0"/>
          <w:szCs w:val="18"/>
          <w:lang w:val="sr-Cyrl-CS"/>
        </w:rPr>
        <w:t>Промет у трговини на мало у октобру 2011. године у односу на септембар 2011. године већи је за</w:t>
      </w:r>
      <w:r w:rsidRPr="00E11BB8">
        <w:rPr>
          <w:rFonts w:ascii="Tahoma" w:hAnsi="Tahoma" w:cs="Tahoma"/>
          <w:bCs w:val="0"/>
          <w:szCs w:val="18"/>
          <w:lang w:val="ru-RU"/>
        </w:rPr>
        <w:t xml:space="preserve"> </w:t>
      </w:r>
      <w:r w:rsidRPr="00E11BB8">
        <w:rPr>
          <w:rFonts w:ascii="Tahoma" w:hAnsi="Tahoma" w:cs="Tahoma"/>
          <w:bCs w:val="0"/>
          <w:szCs w:val="18"/>
          <w:lang w:val="sr-Cyrl-CS"/>
        </w:rPr>
        <w:t>0,3%,</w:t>
      </w:r>
      <w:r w:rsidRPr="00E11BB8">
        <w:rPr>
          <w:rFonts w:ascii="Tahoma" w:hAnsi="Tahoma" w:cs="Tahoma"/>
          <w:bCs w:val="0"/>
          <w:szCs w:val="18"/>
        </w:rPr>
        <w:t xml:space="preserve"> </w:t>
      </w:r>
      <w:r w:rsidRPr="00E11BB8">
        <w:rPr>
          <w:rFonts w:ascii="Tahoma" w:hAnsi="Tahoma" w:cs="Tahoma"/>
          <w:bCs w:val="0"/>
          <w:szCs w:val="18"/>
          <w:lang w:val="sr-Cyrl-CS"/>
        </w:rPr>
        <w:t>у односу на октобар 2010. године већи је за</w:t>
      </w:r>
      <w:r w:rsidRPr="00E11BB8">
        <w:rPr>
          <w:rFonts w:ascii="Tahoma" w:hAnsi="Tahoma" w:cs="Tahoma"/>
          <w:bCs w:val="0"/>
          <w:szCs w:val="18"/>
          <w:lang w:val="ru-RU"/>
        </w:rPr>
        <w:t xml:space="preserve"> </w:t>
      </w:r>
      <w:r w:rsidRPr="00E11BB8">
        <w:rPr>
          <w:rFonts w:ascii="Tahoma" w:hAnsi="Tahoma" w:cs="Tahoma"/>
          <w:bCs w:val="0"/>
          <w:szCs w:val="18"/>
          <w:lang w:val="sr-Cyrl-CS"/>
        </w:rPr>
        <w:t>4,6%</w:t>
      </w:r>
      <w:r w:rsidRPr="00E11BB8">
        <w:rPr>
          <w:rFonts w:ascii="Tahoma" w:hAnsi="Tahoma" w:cs="Tahoma"/>
          <w:bCs w:val="0"/>
          <w:szCs w:val="18"/>
          <w:lang w:val="ru-RU"/>
        </w:rPr>
        <w:t xml:space="preserve">, </w:t>
      </w:r>
      <w:r w:rsidRPr="00E11BB8">
        <w:rPr>
          <w:rFonts w:ascii="Tahoma" w:hAnsi="Tahoma" w:cs="Tahoma"/>
          <w:bCs w:val="0"/>
          <w:szCs w:val="18"/>
          <w:lang w:val="sr-Cyrl-CS"/>
        </w:rPr>
        <w:t>док је у односу на просјек 2010. године већи 13,0%.</w:t>
      </w:r>
    </w:p>
    <w:p w:rsidR="00242008" w:rsidRPr="00E11BB8" w:rsidRDefault="00242008" w:rsidP="0020048F">
      <w:pPr>
        <w:jc w:val="both"/>
        <w:rPr>
          <w:rFonts w:ascii="Tahoma" w:hAnsi="Tahoma" w:cs="Tahoma"/>
          <w:bCs/>
          <w:sz w:val="18"/>
          <w:szCs w:val="18"/>
          <w:lang w:val="sr-Cyrl-CS"/>
        </w:rPr>
      </w:pPr>
    </w:p>
    <w:p w:rsidR="007F09DE" w:rsidRPr="00E11BB8" w:rsidRDefault="0055242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18"/>
          <w:szCs w:val="18"/>
        </w:rPr>
      </w:pPr>
      <w:r w:rsidRPr="00E11BB8">
        <w:rPr>
          <w:rFonts w:ascii="Tahoma" w:hAnsi="Tahoma" w:cs="Tahoma"/>
          <w:bCs/>
          <w:sz w:val="18"/>
          <w:szCs w:val="18"/>
          <w:lang w:val="sr-Cyrl-CS"/>
        </w:rPr>
        <w:t xml:space="preserve">У структури промета највише учествује трговина на мало  у неспецијализованим продавницама са 29,3%, трговина на мало моторним горивима и мазивима са </w:t>
      </w:r>
      <w:r w:rsidRPr="00E11BB8">
        <w:rPr>
          <w:rFonts w:ascii="Tahoma" w:hAnsi="Tahoma" w:cs="Tahoma"/>
          <w:bCs/>
          <w:sz w:val="18"/>
          <w:szCs w:val="18"/>
        </w:rPr>
        <w:t>28,</w:t>
      </w:r>
      <w:r w:rsidRPr="00E11BB8">
        <w:rPr>
          <w:rFonts w:ascii="Tahoma" w:hAnsi="Tahoma" w:cs="Tahoma"/>
          <w:bCs/>
          <w:sz w:val="18"/>
          <w:szCs w:val="18"/>
          <w:lang w:val="sr-Cyrl-CS"/>
        </w:rPr>
        <w:t xml:space="preserve">7% и остала трговина на мало новом робом у специјализираним продавницама са </w:t>
      </w:r>
      <w:r w:rsidRPr="00E11BB8">
        <w:rPr>
          <w:rFonts w:ascii="Tahoma" w:hAnsi="Tahoma" w:cs="Tahoma"/>
          <w:bCs/>
          <w:sz w:val="18"/>
          <w:szCs w:val="18"/>
          <w:lang w:val="sr-Latn-CS"/>
        </w:rPr>
        <w:t>20.</w:t>
      </w:r>
      <w:r w:rsidRPr="00E11BB8">
        <w:rPr>
          <w:rFonts w:ascii="Tahoma" w:hAnsi="Tahoma" w:cs="Tahoma"/>
          <w:bCs/>
          <w:sz w:val="18"/>
          <w:szCs w:val="18"/>
          <w:lang w:val="sr-Cyrl-CS"/>
        </w:rPr>
        <w:t>5%, док најмање учествује трговина на мало изван продавница 0,</w:t>
      </w:r>
      <w:r w:rsidRPr="00E11BB8">
        <w:rPr>
          <w:rFonts w:ascii="Tahoma" w:hAnsi="Tahoma" w:cs="Tahoma"/>
          <w:bCs/>
          <w:sz w:val="18"/>
          <w:szCs w:val="18"/>
          <w:lang w:val="sr-Latn-CS"/>
        </w:rPr>
        <w:t>3</w:t>
      </w:r>
      <w:r w:rsidRPr="00E11BB8">
        <w:rPr>
          <w:rFonts w:ascii="Tahoma" w:hAnsi="Tahoma" w:cs="Tahoma"/>
          <w:bCs/>
          <w:sz w:val="18"/>
          <w:szCs w:val="18"/>
          <w:lang w:val="sr-Cyrl-CS"/>
        </w:rPr>
        <w:t>%</w:t>
      </w:r>
      <w:r w:rsidR="009B5D33" w:rsidRPr="00E11BB8">
        <w:rPr>
          <w:rFonts w:ascii="Tahoma" w:hAnsi="Tahoma" w:cs="Tahoma"/>
          <w:bCs/>
          <w:sz w:val="18"/>
          <w:szCs w:val="18"/>
        </w:rPr>
        <w:t>.</w:t>
      </w:r>
    </w:p>
    <w:p w:rsidR="00F94323" w:rsidRDefault="00F94323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Default="00FB6D41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Pr="00213429" w:rsidRDefault="00FB6D41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Забиљежено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1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6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више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ноћења 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BA"/>
        </w:rPr>
        <w:t>у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октобру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него у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септембру</w:t>
      </w:r>
      <w:r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FB6D41" w:rsidRPr="00213429" w:rsidRDefault="00FB6D41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Највише ноћења туриста из </w:t>
      </w:r>
      <w:r>
        <w:rPr>
          <w:rFonts w:ascii="Tahoma" w:hAnsi="Tahoma" w:cs="Tahoma"/>
          <w:spacing w:val="-14"/>
          <w:sz w:val="24"/>
          <w:szCs w:val="24"/>
          <w:lang w:val="ru-RU"/>
        </w:rPr>
        <w:t>Хрватске</w:t>
      </w:r>
      <w:r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и то </w:t>
      </w:r>
      <w:r>
        <w:rPr>
          <w:rFonts w:ascii="Tahoma" w:hAnsi="Tahoma" w:cs="Tahoma"/>
          <w:spacing w:val="-14"/>
          <w:sz w:val="24"/>
          <w:szCs w:val="24"/>
          <w:lang w:val="ru-RU"/>
        </w:rPr>
        <w:t>7 867</w:t>
      </w:r>
    </w:p>
    <w:p w:rsidR="00FB6D41" w:rsidRPr="00213429" w:rsidRDefault="00FB6D41" w:rsidP="00FB6D41">
      <w:pPr>
        <w:pStyle w:val="Default"/>
        <w:jc w:val="both"/>
        <w:rPr>
          <w:color w:val="auto"/>
          <w:highlight w:val="yellow"/>
          <w:lang w:val="ru-RU"/>
        </w:rPr>
      </w:pPr>
    </w:p>
    <w:p w:rsidR="00FB6D41" w:rsidRPr="00213429" w:rsidRDefault="00FB6D41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У </w:t>
      </w:r>
      <w:r>
        <w:rPr>
          <w:rFonts w:ascii="Tahoma" w:hAnsi="Tahoma" w:cs="Tahoma"/>
          <w:sz w:val="18"/>
          <w:szCs w:val="18"/>
          <w:lang w:val="ru-RU"/>
        </w:rPr>
        <w:t>октобру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2011. године Република Српска је располагала са капацитетом од 4 </w:t>
      </w:r>
      <w:r>
        <w:rPr>
          <w:rFonts w:ascii="Tahoma" w:hAnsi="Tahoma" w:cs="Tahoma"/>
          <w:sz w:val="18"/>
          <w:szCs w:val="18"/>
          <w:lang w:val="ru-RU"/>
        </w:rPr>
        <w:t>139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соба, односно </w:t>
      </w:r>
      <w:r>
        <w:rPr>
          <w:rFonts w:ascii="Tahoma" w:hAnsi="Tahoma" w:cs="Tahoma"/>
          <w:sz w:val="18"/>
          <w:szCs w:val="18"/>
          <w:lang w:val="ru-RU"/>
        </w:rPr>
        <w:t>8 860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лежаја.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>Остварено је 2</w:t>
      </w:r>
      <w:r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649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на </w:t>
      </w:r>
      <w:r>
        <w:rPr>
          <w:rFonts w:ascii="Tahoma" w:hAnsi="Tahoma" w:cs="Tahoma"/>
          <w:sz w:val="18"/>
          <w:szCs w:val="18"/>
          <w:lang w:val="sr-Cyrl-BA"/>
        </w:rPr>
        <w:t>септембар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2011. године </w:t>
      </w:r>
      <w:r>
        <w:rPr>
          <w:rFonts w:ascii="Tahoma" w:hAnsi="Tahoma" w:cs="Tahoma"/>
          <w:sz w:val="18"/>
          <w:szCs w:val="18"/>
          <w:lang w:val="sr-Cyrl-BA"/>
        </w:rPr>
        <w:t>мање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>
        <w:rPr>
          <w:rFonts w:ascii="Tahoma" w:hAnsi="Tahoma" w:cs="Tahoma"/>
          <w:sz w:val="18"/>
          <w:szCs w:val="18"/>
          <w:lang w:val="sr-Cyrl-BA"/>
        </w:rPr>
        <w:t>3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>
        <w:rPr>
          <w:rFonts w:ascii="Tahoma" w:hAnsi="Tahoma" w:cs="Tahoma"/>
          <w:sz w:val="18"/>
          <w:szCs w:val="18"/>
          <w:lang w:val="sr-Cyrl-BA"/>
        </w:rPr>
        <w:t>4</w:t>
      </w:r>
      <w:r w:rsidRPr="00213429">
        <w:rPr>
          <w:rFonts w:ascii="Tahoma" w:hAnsi="Tahoma" w:cs="Tahoma"/>
          <w:sz w:val="18"/>
          <w:szCs w:val="18"/>
          <w:lang w:val="sr-Cyrl-BA"/>
        </w:rPr>
        <w:t>%, и 5</w:t>
      </w:r>
      <w:r>
        <w:rPr>
          <w:rFonts w:ascii="Tahoma" w:hAnsi="Tahoma" w:cs="Tahoma"/>
          <w:sz w:val="18"/>
          <w:szCs w:val="18"/>
          <w:lang w:val="sr-Cyrl-BA"/>
        </w:rPr>
        <w:t>9 089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ноћења, што је у односу на </w:t>
      </w:r>
      <w:r>
        <w:rPr>
          <w:rFonts w:ascii="Tahoma" w:hAnsi="Tahoma" w:cs="Tahoma"/>
          <w:sz w:val="18"/>
          <w:szCs w:val="18"/>
          <w:lang w:val="sr-Cyrl-BA"/>
        </w:rPr>
        <w:t>септембар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2011. године </w:t>
      </w:r>
      <w:r>
        <w:rPr>
          <w:rFonts w:ascii="Tahoma" w:hAnsi="Tahoma" w:cs="Tahoma"/>
          <w:sz w:val="18"/>
          <w:szCs w:val="18"/>
          <w:lang w:val="sr-Cyrl-BA"/>
        </w:rPr>
        <w:t>више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>
        <w:rPr>
          <w:rFonts w:ascii="Tahoma" w:hAnsi="Tahoma" w:cs="Tahoma"/>
          <w:sz w:val="18"/>
          <w:szCs w:val="18"/>
          <w:lang w:val="sr-Cyrl-BA"/>
        </w:rPr>
        <w:t>6</w:t>
      </w:r>
      <w:r w:rsidRPr="00213429">
        <w:rPr>
          <w:rFonts w:ascii="Tahoma" w:hAnsi="Tahoma" w:cs="Tahoma"/>
          <w:sz w:val="18"/>
          <w:szCs w:val="18"/>
          <w:lang w:val="sr-Cyrl-BA"/>
        </w:rPr>
        <w:t>%.</w:t>
      </w:r>
      <w:r w:rsidRPr="00213429">
        <w:rPr>
          <w:sz w:val="18"/>
          <w:szCs w:val="18"/>
          <w:lang w:val="sr-Cyrl-BA"/>
        </w:rPr>
        <w:t xml:space="preserve"> </w:t>
      </w:r>
    </w:p>
    <w:p w:rsidR="00FB6D41" w:rsidRPr="00213429" w:rsidRDefault="00FB6D41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Поредећи </w:t>
      </w:r>
      <w:r>
        <w:rPr>
          <w:rFonts w:ascii="Tahoma" w:hAnsi="Tahoma" w:cs="Tahoma"/>
          <w:sz w:val="18"/>
          <w:szCs w:val="18"/>
          <w:lang w:val="sr-Cyrl-CS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</w:t>
      </w:r>
      <w:r w:rsidRPr="00213429"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CS"/>
        </w:rPr>
        <w:t>1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године, забиљежено је </w:t>
      </w:r>
      <w:r>
        <w:rPr>
          <w:rFonts w:ascii="Tahoma" w:hAnsi="Tahoma" w:cs="Tahoma"/>
          <w:sz w:val="18"/>
          <w:szCs w:val="18"/>
          <w:lang w:val="ru-RU"/>
        </w:rPr>
        <w:t>повећање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броја долазака за </w:t>
      </w:r>
      <w:r>
        <w:rPr>
          <w:rFonts w:ascii="Tahoma" w:hAnsi="Tahoma" w:cs="Tahoma"/>
          <w:sz w:val="18"/>
          <w:szCs w:val="18"/>
          <w:lang w:val="ru-RU"/>
        </w:rPr>
        <w:t>0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>
        <w:rPr>
          <w:rFonts w:ascii="Tahoma" w:hAnsi="Tahoma" w:cs="Tahoma"/>
          <w:sz w:val="18"/>
          <w:szCs w:val="18"/>
          <w:lang w:val="sr-Cyrl-BA"/>
        </w:rPr>
        <w:t>7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 и </w:t>
      </w:r>
      <w:r>
        <w:rPr>
          <w:rFonts w:ascii="Tahoma" w:hAnsi="Tahoma" w:cs="Tahoma"/>
          <w:sz w:val="18"/>
          <w:szCs w:val="18"/>
          <w:lang w:val="ru-RU"/>
        </w:rPr>
        <w:t>повећање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броја ноћења за </w:t>
      </w:r>
      <w:r>
        <w:rPr>
          <w:rFonts w:ascii="Tahoma" w:hAnsi="Tahoma" w:cs="Tahoma"/>
          <w:sz w:val="18"/>
          <w:szCs w:val="18"/>
          <w:lang w:val="ru-RU"/>
        </w:rPr>
        <w:t>8</w:t>
      </w:r>
      <w:r w:rsidRPr="00213429">
        <w:rPr>
          <w:rFonts w:ascii="Tahoma" w:hAnsi="Tahoma" w:cs="Tahoma"/>
          <w:sz w:val="18"/>
          <w:szCs w:val="18"/>
          <w:lang w:val="sr-Cyrl-BA"/>
        </w:rPr>
        <w:t>,6</w:t>
      </w:r>
      <w:r w:rsidRPr="00213429">
        <w:rPr>
          <w:rFonts w:ascii="Tahoma" w:hAnsi="Tahoma" w:cs="Tahoma"/>
          <w:sz w:val="18"/>
          <w:szCs w:val="18"/>
          <w:lang w:val="ru-RU"/>
        </w:rPr>
        <w:t>%</w:t>
      </w:r>
      <w:r w:rsidRPr="00213429">
        <w:rPr>
          <w:rFonts w:ascii="Tahoma" w:hAnsi="Tahoma" w:cs="Tahoma"/>
          <w:sz w:val="18"/>
          <w:szCs w:val="18"/>
          <w:lang w:val="sr-Cyrl-BA"/>
        </w:rPr>
        <w:t>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Домаћи туристи су остварили 13 </w:t>
      </w:r>
      <w:r>
        <w:rPr>
          <w:rFonts w:ascii="Tahoma" w:hAnsi="Tahoma" w:cs="Tahoma"/>
          <w:sz w:val="18"/>
          <w:szCs w:val="18"/>
          <w:lang w:val="sr-Cyrl-BA"/>
        </w:rPr>
        <w:t>037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мање за </w:t>
      </w:r>
      <w:r>
        <w:rPr>
          <w:rFonts w:ascii="Tahoma" w:hAnsi="Tahoma" w:cs="Tahoma"/>
          <w:sz w:val="18"/>
          <w:szCs w:val="18"/>
          <w:lang w:val="sr-Cyrl-BA"/>
        </w:rPr>
        <w:t>1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>
        <w:rPr>
          <w:rFonts w:ascii="Tahoma" w:hAnsi="Tahoma" w:cs="Tahoma"/>
          <w:sz w:val="18"/>
          <w:szCs w:val="18"/>
          <w:lang w:val="sr-Cyrl-BA"/>
        </w:rPr>
        <w:t>8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 као и </w:t>
      </w:r>
      <w:r>
        <w:rPr>
          <w:rFonts w:ascii="Tahoma" w:hAnsi="Tahoma" w:cs="Tahoma"/>
          <w:sz w:val="18"/>
          <w:szCs w:val="18"/>
          <w:lang w:val="sr-Cyrl-BA"/>
        </w:rPr>
        <w:t>36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352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ноћења,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мање за </w:t>
      </w:r>
      <w:r>
        <w:rPr>
          <w:rFonts w:ascii="Tahoma" w:hAnsi="Tahoma" w:cs="Tahoma"/>
          <w:sz w:val="18"/>
          <w:szCs w:val="18"/>
          <w:lang w:val="ru-RU"/>
        </w:rPr>
        <w:t>2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>9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213429">
        <w:rPr>
          <w:rFonts w:ascii="Tahoma" w:hAnsi="Tahoma" w:cs="Tahoma"/>
          <w:sz w:val="18"/>
          <w:szCs w:val="18"/>
          <w:lang w:val="sr-Cyrl-BA"/>
        </w:rPr>
        <w:t xml:space="preserve">Страни туристи су остварили 8 </w:t>
      </w:r>
      <w:r>
        <w:rPr>
          <w:rFonts w:ascii="Tahoma" w:hAnsi="Tahoma" w:cs="Tahoma"/>
          <w:sz w:val="18"/>
          <w:szCs w:val="18"/>
          <w:lang w:val="sr-Cyrl-BA"/>
        </w:rPr>
        <w:t>612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више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за </w:t>
      </w:r>
      <w:r>
        <w:rPr>
          <w:rFonts w:ascii="Tahoma" w:hAnsi="Tahoma" w:cs="Tahoma"/>
          <w:sz w:val="18"/>
          <w:szCs w:val="18"/>
          <w:lang w:val="sr-Cyrl-BA"/>
        </w:rPr>
        <w:t>4</w:t>
      </w:r>
      <w:r w:rsidRPr="00213429">
        <w:rPr>
          <w:rFonts w:ascii="Tahoma" w:hAnsi="Tahoma" w:cs="Tahoma"/>
          <w:sz w:val="18"/>
          <w:szCs w:val="18"/>
          <w:lang w:val="sr-Cyrl-BA"/>
        </w:rPr>
        <w:t>,</w:t>
      </w:r>
      <w:r>
        <w:rPr>
          <w:rFonts w:ascii="Tahoma" w:hAnsi="Tahoma" w:cs="Tahoma"/>
          <w:sz w:val="18"/>
          <w:szCs w:val="18"/>
          <w:lang w:val="sr-Cyrl-BA"/>
        </w:rPr>
        <w:t>9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%, као и  </w:t>
      </w:r>
      <w:r>
        <w:rPr>
          <w:rFonts w:ascii="Tahoma" w:hAnsi="Tahoma" w:cs="Tahoma"/>
          <w:sz w:val="18"/>
          <w:szCs w:val="18"/>
          <w:lang w:val="sr-Cyrl-BA"/>
        </w:rPr>
        <w:t>22 737</w:t>
      </w:r>
      <w:r w:rsidRPr="00213429">
        <w:rPr>
          <w:rFonts w:ascii="Tahoma" w:hAnsi="Tahoma" w:cs="Tahoma"/>
          <w:sz w:val="18"/>
          <w:szCs w:val="18"/>
          <w:lang w:val="sr-Cyrl-BA"/>
        </w:rPr>
        <w:t xml:space="preserve"> ноћења, што је у односу 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>
        <w:rPr>
          <w:rFonts w:ascii="Tahoma" w:hAnsi="Tahoma" w:cs="Tahoma"/>
          <w:sz w:val="18"/>
          <w:szCs w:val="18"/>
          <w:lang w:val="ru-RU"/>
        </w:rPr>
        <w:t>више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за </w:t>
      </w:r>
      <w:r>
        <w:rPr>
          <w:rFonts w:ascii="Tahoma" w:hAnsi="Tahoma" w:cs="Tahoma"/>
          <w:sz w:val="18"/>
          <w:szCs w:val="18"/>
          <w:lang w:val="ru-RU"/>
        </w:rPr>
        <w:t>34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>0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FB6D41" w:rsidRDefault="00FB6D41" w:rsidP="005269F3">
      <w:pPr>
        <w:jc w:val="both"/>
        <w:rPr>
          <w:rFonts w:ascii="Tahoma" w:hAnsi="Tahoma" w:cs="Tahoma"/>
          <w:b/>
          <w:sz w:val="18"/>
          <w:szCs w:val="18"/>
          <w:lang w:val="sr-Latn-BA"/>
        </w:rPr>
      </w:pPr>
      <w:r w:rsidRPr="00213429">
        <w:rPr>
          <w:rFonts w:ascii="Tahoma" w:hAnsi="Tahoma" w:cs="Tahoma"/>
          <w:sz w:val="18"/>
          <w:szCs w:val="18"/>
          <w:lang w:val="ru-RU"/>
        </w:rPr>
        <w:t xml:space="preserve">Од страних туриста, највише ноћења су остварили туристи из </w:t>
      </w:r>
      <w:r>
        <w:rPr>
          <w:rFonts w:ascii="Tahoma" w:hAnsi="Tahoma" w:cs="Tahoma"/>
          <w:sz w:val="18"/>
          <w:szCs w:val="18"/>
          <w:lang w:val="ru-RU"/>
        </w:rPr>
        <w:t>Хрватске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7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867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), што је у односу на 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>
        <w:rPr>
          <w:rFonts w:ascii="Tahoma" w:hAnsi="Tahoma" w:cs="Tahoma"/>
          <w:sz w:val="18"/>
          <w:szCs w:val="18"/>
          <w:lang w:val="ru-RU"/>
        </w:rPr>
        <w:t>више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за 2</w:t>
      </w:r>
      <w:r>
        <w:rPr>
          <w:rFonts w:ascii="Tahoma" w:hAnsi="Tahoma" w:cs="Tahoma"/>
          <w:sz w:val="18"/>
          <w:szCs w:val="18"/>
          <w:lang w:val="ru-RU"/>
        </w:rPr>
        <w:t>31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>4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%. На другом мјесту је </w:t>
      </w:r>
      <w:r>
        <w:rPr>
          <w:rFonts w:ascii="Tahoma" w:hAnsi="Tahoma" w:cs="Tahoma"/>
          <w:sz w:val="18"/>
          <w:szCs w:val="18"/>
          <w:lang w:val="ru-RU"/>
        </w:rPr>
        <w:t>Србија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са остварених </w:t>
      </w:r>
      <w:r>
        <w:rPr>
          <w:rFonts w:ascii="Tahoma" w:hAnsi="Tahoma" w:cs="Tahoma"/>
          <w:sz w:val="18"/>
          <w:szCs w:val="18"/>
          <w:lang w:val="ru-RU"/>
        </w:rPr>
        <w:t>6 082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ноћења, што је у односу 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>
        <w:rPr>
          <w:rFonts w:ascii="Tahoma" w:hAnsi="Tahoma" w:cs="Tahoma"/>
          <w:sz w:val="18"/>
          <w:szCs w:val="18"/>
          <w:lang w:val="ru-RU"/>
        </w:rPr>
        <w:t>мање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за </w:t>
      </w:r>
      <w:r>
        <w:rPr>
          <w:rFonts w:ascii="Tahoma" w:hAnsi="Tahoma" w:cs="Tahoma"/>
          <w:sz w:val="18"/>
          <w:szCs w:val="18"/>
          <w:lang w:val="ru-RU"/>
        </w:rPr>
        <w:t>10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>8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%. На трећем мјесту по оствареном броју ноћења је Словенија (1 </w:t>
      </w:r>
      <w:r>
        <w:rPr>
          <w:rFonts w:ascii="Tahoma" w:hAnsi="Tahoma" w:cs="Tahoma"/>
          <w:sz w:val="18"/>
          <w:szCs w:val="18"/>
          <w:lang w:val="ru-RU"/>
        </w:rPr>
        <w:t>568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), што је у односу на </w:t>
      </w:r>
      <w:r>
        <w:rPr>
          <w:rFonts w:ascii="Tahoma" w:hAnsi="Tahoma" w:cs="Tahoma"/>
          <w:sz w:val="18"/>
          <w:szCs w:val="18"/>
          <w:lang w:val="ru-RU"/>
        </w:rPr>
        <w:t>октобар</w:t>
      </w:r>
      <w:r w:rsidRPr="00213429">
        <w:rPr>
          <w:rFonts w:ascii="Tahoma" w:hAnsi="Tahoma" w:cs="Tahoma"/>
          <w:sz w:val="18"/>
          <w:szCs w:val="18"/>
          <w:lang w:val="ru-RU"/>
        </w:rPr>
        <w:t xml:space="preserve"> 2010. године више за </w:t>
      </w:r>
      <w:r>
        <w:rPr>
          <w:rFonts w:ascii="Tahoma" w:hAnsi="Tahoma" w:cs="Tahoma"/>
          <w:sz w:val="18"/>
          <w:szCs w:val="18"/>
          <w:lang w:val="ru-RU"/>
        </w:rPr>
        <w:t>17</w:t>
      </w:r>
      <w:r w:rsidRPr="00213429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>0</w:t>
      </w:r>
      <w:r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B6D41" w:rsidRPr="00E11BB8" w:rsidRDefault="00FB6D41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Default="00FB6D41" w:rsidP="00CA04C8">
      <w:pPr>
        <w:jc w:val="both"/>
        <w:rPr>
          <w:rFonts w:ascii="Tahoma" w:hAnsi="Tahoma" w:cs="Tahoma"/>
          <w:b/>
          <w:sz w:val="28"/>
          <w:szCs w:val="28"/>
        </w:rPr>
      </w:pPr>
    </w:p>
    <w:p w:rsidR="00CA04C8" w:rsidRPr="00E11BB8" w:rsidRDefault="00CA04C8" w:rsidP="00CA04C8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E11BB8">
        <w:rPr>
          <w:rFonts w:ascii="Tahoma" w:hAnsi="Tahoma" w:cs="Tahoma"/>
          <w:b/>
          <w:sz w:val="28"/>
          <w:szCs w:val="28"/>
          <w:lang w:val="sr-Cyrl-BA"/>
        </w:rPr>
        <w:t xml:space="preserve">У 2010. години у Републици Српској за истраживање и развој потрошено је 20,7 милиона КМ </w:t>
      </w:r>
    </w:p>
    <w:p w:rsidR="00CA04C8" w:rsidRPr="00E11BB8" w:rsidRDefault="00CA04C8" w:rsidP="00CA04C8">
      <w:pPr>
        <w:jc w:val="both"/>
        <w:rPr>
          <w:rFonts w:ascii="Tahoma" w:hAnsi="Tahoma" w:cs="Tahoma"/>
          <w:i/>
          <w:sz w:val="24"/>
          <w:szCs w:val="24"/>
          <w:lang w:val="sr-Cyrl-BA"/>
        </w:rPr>
      </w:pPr>
      <w:r w:rsidRPr="00E11BB8">
        <w:rPr>
          <w:rFonts w:ascii="Tahoma" w:hAnsi="Tahoma" w:cs="Tahoma"/>
          <w:sz w:val="24"/>
          <w:szCs w:val="24"/>
          <w:lang w:val="sr-Cyrl-BA"/>
        </w:rPr>
        <w:t xml:space="preserve">Највише средстава за истраживање и развој (38,4%) потрошено је у области </w:t>
      </w:r>
      <w:r w:rsidRPr="00E11BB8">
        <w:rPr>
          <w:rFonts w:ascii="Tahoma" w:hAnsi="Tahoma" w:cs="Tahoma"/>
          <w:i/>
          <w:sz w:val="24"/>
          <w:szCs w:val="24"/>
          <w:lang w:val="sr-Cyrl-BA"/>
        </w:rPr>
        <w:t xml:space="preserve">Инжењерство и технологија, </w:t>
      </w:r>
      <w:r w:rsidRPr="00E11BB8">
        <w:rPr>
          <w:rFonts w:ascii="Tahoma" w:hAnsi="Tahoma" w:cs="Tahoma"/>
          <w:sz w:val="24"/>
          <w:szCs w:val="24"/>
          <w:lang w:val="sr-Cyrl-BA"/>
        </w:rPr>
        <w:t>а најмање у области</w:t>
      </w:r>
      <w:r w:rsidRPr="00E11BB8">
        <w:rPr>
          <w:rFonts w:ascii="Tahoma" w:hAnsi="Tahoma" w:cs="Tahoma"/>
          <w:i/>
          <w:sz w:val="24"/>
          <w:szCs w:val="24"/>
          <w:lang w:val="sr-Cyrl-BA"/>
        </w:rPr>
        <w:t xml:space="preserve"> Хуманистичке науке </w:t>
      </w:r>
      <w:r w:rsidRPr="00E11BB8">
        <w:rPr>
          <w:rFonts w:ascii="Tahoma" w:hAnsi="Tahoma" w:cs="Tahoma"/>
          <w:sz w:val="24"/>
          <w:szCs w:val="24"/>
          <w:lang w:val="sr-Cyrl-BA"/>
        </w:rPr>
        <w:t>(0,6%)</w:t>
      </w:r>
    </w:p>
    <w:p w:rsidR="00CA04C8" w:rsidRPr="00E11BB8" w:rsidRDefault="00CA04C8" w:rsidP="00CA04C8">
      <w:pPr>
        <w:rPr>
          <w:rFonts w:ascii="Tahoma" w:hAnsi="Tahoma" w:cs="Tahoma"/>
          <w:b/>
          <w:sz w:val="18"/>
          <w:szCs w:val="18"/>
          <w:lang w:val="sr-Cyrl-BA"/>
        </w:rPr>
      </w:pP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У 2010. години </w:t>
      </w:r>
      <w:r w:rsidRPr="00E11BB8">
        <w:rPr>
          <w:rFonts w:ascii="Tahoma" w:hAnsi="Tahoma" w:cs="Tahoma"/>
          <w:b/>
          <w:sz w:val="18"/>
          <w:szCs w:val="18"/>
          <w:lang w:val="sr-Cyrl-BA"/>
        </w:rPr>
        <w:t>бруто домаћи издаци за истраживање и развој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, у свим секторима извођења истраживања и развоја,  износили су </w:t>
      </w:r>
      <w:r w:rsidRPr="00E11BB8">
        <w:rPr>
          <w:rFonts w:ascii="Tahoma" w:hAnsi="Tahoma" w:cs="Tahoma"/>
          <w:b/>
          <w:sz w:val="18"/>
          <w:szCs w:val="18"/>
          <w:lang w:val="sr-Cyrl-BA"/>
        </w:rPr>
        <w:t>20 779 000 КМ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што је за 15,4% мање у односу на прошлу годину. Од укупних бруто домаћих издатака у пословном сектору потрошено је 41,0%, државном сектору 9,7%, високом образовању 48,6% и непрофитном сектору 0,7%. 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Када се посматрају извори потрошених средстава за истраживање и развој, од 20 779 000 КМ, колико је издвојено за истраживање и развој, </w:t>
      </w:r>
      <w:r w:rsidRPr="00E11BB8">
        <w:rPr>
          <w:rFonts w:ascii="Tahoma" w:hAnsi="Tahoma" w:cs="Tahoma"/>
          <w:b/>
          <w:sz w:val="18"/>
          <w:szCs w:val="18"/>
          <w:lang w:val="sr-Cyrl-BA"/>
        </w:rPr>
        <w:t>20 284</w:t>
      </w:r>
      <w:r w:rsidR="00E33DC3">
        <w:rPr>
          <w:rFonts w:ascii="Tahoma" w:hAnsi="Tahoma" w:cs="Tahoma"/>
          <w:b/>
          <w:sz w:val="18"/>
          <w:szCs w:val="18"/>
          <w:lang w:val="sr-Cyrl-BA"/>
        </w:rPr>
        <w:t> </w:t>
      </w:r>
      <w:r w:rsidRPr="00E11BB8">
        <w:rPr>
          <w:rFonts w:ascii="Tahoma" w:hAnsi="Tahoma" w:cs="Tahoma"/>
          <w:b/>
          <w:sz w:val="18"/>
          <w:szCs w:val="18"/>
          <w:lang w:val="sr-Cyrl-BA"/>
        </w:rPr>
        <w:t>000</w:t>
      </w:r>
      <w:r w:rsidR="00E33DC3">
        <w:rPr>
          <w:rFonts w:ascii="Tahoma" w:hAnsi="Tahoma" w:cs="Tahoma"/>
          <w:b/>
          <w:sz w:val="18"/>
          <w:szCs w:val="18"/>
        </w:rPr>
        <w:t xml:space="preserve"> KM</w:t>
      </w:r>
      <w:r w:rsidRPr="00E11BB8">
        <w:rPr>
          <w:rFonts w:ascii="Tahoma" w:hAnsi="Tahoma" w:cs="Tahoma"/>
          <w:b/>
          <w:sz w:val="18"/>
          <w:szCs w:val="18"/>
          <w:lang w:val="sr-Cyrl-BA"/>
        </w:rPr>
        <w:t xml:space="preserve"> су финансијска средства из Републике Српске</w:t>
      </w:r>
      <w:r w:rsidRPr="00E11BB8">
        <w:rPr>
          <w:rFonts w:ascii="Tahoma" w:hAnsi="Tahoma" w:cs="Tahoma"/>
          <w:sz w:val="18"/>
          <w:szCs w:val="18"/>
          <w:lang w:val="sr-Cyrl-BA"/>
        </w:rPr>
        <w:t>, 63</w:t>
      </w:r>
      <w:r w:rsidR="00E33DC3">
        <w:rPr>
          <w:rFonts w:ascii="Tahoma" w:hAnsi="Tahoma" w:cs="Tahoma"/>
          <w:sz w:val="18"/>
          <w:szCs w:val="18"/>
          <w:lang w:val="sr-Cyrl-BA"/>
        </w:rPr>
        <w:t> </w:t>
      </w:r>
      <w:r w:rsidRPr="00E11BB8">
        <w:rPr>
          <w:rFonts w:ascii="Tahoma" w:hAnsi="Tahoma" w:cs="Tahoma"/>
          <w:sz w:val="18"/>
          <w:szCs w:val="18"/>
          <w:lang w:val="sr-Cyrl-BA"/>
        </w:rPr>
        <w:t>000</w:t>
      </w:r>
      <w:r w:rsidR="00E33DC3">
        <w:rPr>
          <w:rFonts w:ascii="Tahoma" w:hAnsi="Tahoma" w:cs="Tahoma"/>
          <w:sz w:val="18"/>
          <w:szCs w:val="18"/>
        </w:rPr>
        <w:t xml:space="preserve"> KM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финансијска средства заједничких институција БиХ, 18 000 </w:t>
      </w:r>
      <w:r w:rsidR="00E33DC3">
        <w:rPr>
          <w:rFonts w:ascii="Tahoma" w:hAnsi="Tahoma" w:cs="Tahoma"/>
          <w:sz w:val="18"/>
          <w:szCs w:val="18"/>
        </w:rPr>
        <w:t xml:space="preserve">KM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финансијска средства из Федерације БиХ или Брчко дистрикта и </w:t>
      </w:r>
      <w:r w:rsidR="00E33DC3">
        <w:rPr>
          <w:rFonts w:ascii="Tahoma" w:hAnsi="Tahoma" w:cs="Tahoma"/>
          <w:sz w:val="18"/>
          <w:szCs w:val="18"/>
        </w:rPr>
        <w:t xml:space="preserve">    </w:t>
      </w:r>
      <w:r w:rsidRPr="00E11BB8">
        <w:rPr>
          <w:rFonts w:ascii="Tahoma" w:hAnsi="Tahoma" w:cs="Tahoma"/>
          <w:sz w:val="18"/>
          <w:szCs w:val="18"/>
          <w:lang w:val="sr-Cyrl-BA"/>
        </w:rPr>
        <w:t>414 000 КМ су финансијска средства из иностранства.</w:t>
      </w:r>
    </w:p>
    <w:p w:rsidR="00CA04C8" w:rsidRPr="00E11BB8" w:rsidRDefault="00CA04C8" w:rsidP="00CA04C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Највише средстава за истраживање и развој према научној области, 38,4%, потрошено је у области </w:t>
      </w:r>
      <w:r w:rsidRPr="00E11BB8">
        <w:rPr>
          <w:rFonts w:ascii="Tahoma" w:hAnsi="Tahoma" w:cs="Tahoma"/>
          <w:i/>
          <w:sz w:val="18"/>
          <w:szCs w:val="18"/>
          <w:lang w:val="sr-Cyrl-BA"/>
        </w:rPr>
        <w:t>Инжењерство и технологија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којој припадају грађевинарство, архитектура, електротехника, електроника, информационо, машинско, хемијско и медицинско инжењерство, инжењерство животне средине и остала инжењерства и технологије.</w:t>
      </w:r>
    </w:p>
    <w:p w:rsidR="00CA04C8" w:rsidRPr="00E11BB8" w:rsidRDefault="00CA04C8" w:rsidP="00CA04C8">
      <w:pPr>
        <w:jc w:val="both"/>
        <w:rPr>
          <w:rFonts w:ascii="Tahoma" w:eastAsia="Tahoma" w:hAnsi="Tahoma" w:cs="Tahoma"/>
          <w:spacing w:val="-4"/>
          <w:sz w:val="18"/>
          <w:szCs w:val="18"/>
          <w:lang w:val="sr-Cyrl-BA"/>
        </w:rPr>
      </w:pPr>
      <w:r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>Највише уложених средстава за истраживање и развој било је намијењено унапређењу индустријског развоја (23,4%),  развоја пољопривреде, шумарства и рибарства (22,5%) и друштвеног развоја и услуга (18,8%).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both"/>
        <w:rPr>
          <w:rFonts w:ascii="Tahoma" w:eastAsia="Tahoma" w:hAnsi="Tahoma" w:cs="Tahoma"/>
          <w:spacing w:val="-4"/>
          <w:sz w:val="18"/>
          <w:szCs w:val="18"/>
          <w:lang w:val="sr-Cyrl-BA"/>
        </w:rPr>
      </w:pPr>
      <w:r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На пословима истраживања и развоја у 2010. години</w:t>
      </w:r>
      <w:r w:rsidRPr="00E11BB8">
        <w:rPr>
          <w:rFonts w:ascii="Tahoma" w:eastAsia="Tahoma" w:hAnsi="Tahoma" w:cs="Tahoma"/>
          <w:b/>
          <w:spacing w:val="-4"/>
          <w:sz w:val="18"/>
          <w:szCs w:val="18"/>
          <w:lang w:val="sr-Latn-BA"/>
        </w:rPr>
        <w:t xml:space="preserve"> </w:t>
      </w:r>
      <w:r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биле су запослен</w:t>
      </w:r>
      <w:r w:rsidRPr="00E11BB8">
        <w:rPr>
          <w:rFonts w:ascii="Tahoma" w:eastAsia="Tahoma" w:hAnsi="Tahoma" w:cs="Tahoma"/>
          <w:b/>
          <w:spacing w:val="-4"/>
          <w:sz w:val="18"/>
          <w:szCs w:val="18"/>
        </w:rPr>
        <w:t>e</w:t>
      </w:r>
      <w:r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1 053 особе</w:t>
      </w:r>
      <w:r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>, са пуним и краћим од пуног радног времена</w:t>
      </w:r>
      <w:r w:rsidRPr="00E11BB8">
        <w:rPr>
          <w:rFonts w:ascii="Tahoma" w:eastAsia="Tahoma" w:hAnsi="Tahoma" w:cs="Tahoma"/>
          <w:spacing w:val="-4"/>
          <w:sz w:val="18"/>
          <w:szCs w:val="18"/>
          <w:lang w:val="sr-Latn-BA"/>
        </w:rPr>
        <w:t xml:space="preserve">, </w:t>
      </w:r>
      <w:r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>од чега су 43,1% жене. Изражено еквивалентом пуне запослености у 2010. години 791,8 лица било је запослено пуно радно вријеме на пословима истраживања и развоја.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У истом периоду на пословима истраживања и развоја, на основу уговора о дјелу или ауторског уговора, била је</w:t>
      </w:r>
      <w:r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ангажована 481 особа</w:t>
      </w:r>
      <w:r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>, од чега су 33,4%  жене. Изражено еквивалентом пуне запослености, на пословима истраживања и развоја пуно радно вријеме биле су ангажоване 154,4 особе.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b/>
          <w:sz w:val="18"/>
          <w:szCs w:val="18"/>
          <w:lang w:val="sr-Cyrl-BA"/>
        </w:rPr>
        <w:t>Укупан број истраживачо-развојних радова је 379</w:t>
      </w:r>
      <w:r w:rsidRPr="00E11BB8">
        <w:rPr>
          <w:rFonts w:ascii="Tahoma" w:hAnsi="Tahoma" w:cs="Tahoma"/>
          <w:sz w:val="18"/>
          <w:szCs w:val="18"/>
          <w:lang w:val="sr-Cyrl-BA"/>
        </w:rPr>
        <w:t>, од чега примјењеним истраживањима припада 44,1% радова, развојним истраживањима припада 41,2% радова и фундаменталним истраживањима 14,8% радова.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>У 2010. години,  49 јединица се бавило истраживањем и развојем, од чега 16 извјештајних јединица припада пословном сектору, 28 извјештајних јединица  високом образовању, 4 извјештајне јединице државном сектору и једна јединица непрофитном сектору.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 xml:space="preserve">                                      </w:t>
      </w:r>
      <w:r w:rsidR="00BC6143" w:rsidRPr="00E11BB8">
        <w:rPr>
          <w:rFonts w:ascii="Tahoma" w:hAnsi="Tahoma" w:cs="Tahoma"/>
          <w:sz w:val="18"/>
          <w:szCs w:val="18"/>
          <w:lang w:val="sr-Cyrl-BA"/>
        </w:rPr>
        <w:t xml:space="preserve">                               </w:t>
      </w:r>
      <w:r w:rsidR="00BC6143" w:rsidRPr="00E11BB8">
        <w:rPr>
          <w:rFonts w:ascii="Tahoma" w:hAnsi="Tahoma" w:cs="Tahoma"/>
          <w:sz w:val="18"/>
          <w:szCs w:val="18"/>
        </w:rPr>
        <w:t xml:space="preserve">   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хиљ.</w:t>
      </w:r>
      <w:r w:rsidRPr="00E11BB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3753134" cy="262037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04C8" w:rsidRPr="00E11BB8" w:rsidRDefault="00CA04C8" w:rsidP="00CA04C8">
      <w:pPr>
        <w:jc w:val="center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ab/>
        <w:t xml:space="preserve">Графикон </w:t>
      </w:r>
      <w:r w:rsidR="00CC25AA" w:rsidRPr="00E11BB8">
        <w:rPr>
          <w:rFonts w:ascii="Tahoma" w:hAnsi="Tahoma" w:cs="Tahoma"/>
          <w:sz w:val="18"/>
          <w:szCs w:val="18"/>
        </w:rPr>
        <w:t>3</w:t>
      </w:r>
      <w:r w:rsidRPr="00E11BB8">
        <w:rPr>
          <w:rFonts w:ascii="Tahoma" w:hAnsi="Tahoma" w:cs="Tahoma"/>
          <w:sz w:val="18"/>
          <w:szCs w:val="18"/>
          <w:lang w:val="sr-Cyrl-BA"/>
        </w:rPr>
        <w:t>. Бруто домаћи издаци за истраживање и развој према врсти и секторима</w:t>
      </w:r>
    </w:p>
    <w:p w:rsidR="00CA04C8" w:rsidRDefault="00CA04C8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P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E11BB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E11BB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E11BB8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8C3261" w:rsidRPr="00E11BB8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E11BB8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E11BB8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E11BB8">
              <w:rPr>
                <w:rFonts w:ascii="Tahoma" w:hAnsi="Tahoma" w:cs="Tahoma"/>
                <w:sz w:val="16"/>
                <w:lang w:val="bs-Cyrl-BA"/>
              </w:rPr>
              <w:t>Даница Бабић</w:t>
            </w:r>
          </w:p>
          <w:p w:rsidR="00A23F12" w:rsidRPr="00E11BB8" w:rsidRDefault="009712A1" w:rsidP="000F0E43">
            <w:hyperlink r:id="rId12" w:history="1"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danica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bs-Cyrl-BA"/>
                </w:rPr>
                <w:t>.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babic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0F0E43" w:rsidRPr="00E11BB8" w:rsidRDefault="00A23F12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Владимир Копривица</w:t>
            </w:r>
          </w:p>
          <w:p w:rsidR="00A23F12" w:rsidRPr="00E11BB8" w:rsidRDefault="009712A1" w:rsidP="000F0E43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B21ED5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vladimir.koprivica@rzs.rs.ba</w:t>
              </w:r>
            </w:hyperlink>
          </w:p>
          <w:p w:rsidR="00A23F12" w:rsidRPr="00E11BB8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E11BB8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CC25AA" w:rsidRPr="00E11BB8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C25AA" w:rsidRPr="00E11BB8" w:rsidRDefault="00CC25AA" w:rsidP="00CC25AA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>Статистика  националних рачуна</w:t>
            </w:r>
          </w:p>
          <w:p w:rsidR="00CC25AA" w:rsidRPr="00E11BB8" w:rsidRDefault="00CC25AA" w:rsidP="00CC25AA">
            <w:pPr>
              <w:rPr>
                <w:rFonts w:ascii="Tahoma" w:hAnsi="Tahoma" w:cs="Tahoma"/>
                <w:sz w:val="16"/>
                <w:lang w:val="bs-Cyrl-BA"/>
              </w:rPr>
            </w:pPr>
            <w:r w:rsidRPr="00E11BB8">
              <w:rPr>
                <w:rFonts w:ascii="Tahoma" w:hAnsi="Tahoma" w:cs="Tahoma"/>
                <w:sz w:val="16"/>
                <w:lang w:val="bs-Cyrl-BA"/>
              </w:rPr>
              <w:t>Милка Цигановић</w:t>
            </w:r>
          </w:p>
          <w:p w:rsidR="00CC25AA" w:rsidRPr="00E11BB8" w:rsidRDefault="009712A1" w:rsidP="00CC25AA">
            <w:hyperlink r:id="rId14" w:history="1"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milka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bs-Cyrl-BA"/>
                </w:rPr>
                <w:t>.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ciganovic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CC25AA" w:rsidRPr="00E11BB8" w:rsidRDefault="00CC25AA" w:rsidP="00CC25AA">
            <w:pPr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Јадранка Лубурић</w:t>
            </w:r>
          </w:p>
          <w:p w:rsidR="00CC25AA" w:rsidRPr="00E11BB8" w:rsidRDefault="009712A1" w:rsidP="00CC25AA">
            <w:pPr>
              <w:rPr>
                <w:rFonts w:ascii="Tahoma" w:hAnsi="Tahoma" w:cs="Tahoma"/>
                <w:sz w:val="16"/>
              </w:rPr>
            </w:pPr>
            <w:hyperlink r:id="rId15" w:history="1"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jadranka.luburic@rzs.rs.ba</w:t>
              </w:r>
            </w:hyperlink>
          </w:p>
          <w:p w:rsidR="00CC25AA" w:rsidRPr="00E11BB8" w:rsidRDefault="00CC25AA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E11BB8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E11BB8" w:rsidRDefault="009712A1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E11BB8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E11BB8" w:rsidRDefault="009712A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E11BB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E11BB8" w:rsidRDefault="009712A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E11BB8" w:rsidRDefault="008D6CFA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унутрашње трговине </w:t>
            </w:r>
          </w:p>
          <w:p w:rsidR="008D6CFA" w:rsidRPr="00E11BB8" w:rsidRDefault="008D6CFA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Санела Васиљевић</w:t>
            </w:r>
          </w:p>
          <w:p w:rsidR="008D6CFA" w:rsidRPr="00E11BB8" w:rsidRDefault="009712A1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sanela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vasiljevic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D6CFA" w:rsidRPr="00E11BB8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E859F8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859F8" w:rsidRPr="00E11BB8" w:rsidRDefault="00E859F8" w:rsidP="00E859F8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туризма </w:t>
            </w:r>
          </w:p>
          <w:p w:rsidR="00E859F8" w:rsidRPr="00E11BB8" w:rsidRDefault="00E859F8" w:rsidP="00E859F8">
            <w:pPr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Мирослав Илић</w:t>
            </w:r>
          </w:p>
          <w:p w:rsidR="00E859F8" w:rsidRPr="00E11BB8" w:rsidRDefault="009712A1" w:rsidP="00E859F8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0" w:history="1"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miroslav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ilic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E859F8" w:rsidRPr="00E11BB8" w:rsidRDefault="00E859F8" w:rsidP="008D6CFA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BC6143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C6143" w:rsidRPr="00E11BB8" w:rsidRDefault="001B5DF0" w:rsidP="00BC61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>Статистика истраживања и развоја</w:t>
            </w:r>
            <w:r w:rsidR="00BC61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BC6143" w:rsidRPr="00E11BB8" w:rsidRDefault="001B5DF0" w:rsidP="00BC6143">
            <w:pPr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Долорес Пеулић</w:t>
            </w:r>
          </w:p>
          <w:p w:rsidR="00BC6143" w:rsidRPr="00E11BB8" w:rsidRDefault="009712A1" w:rsidP="00BC6143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1" w:history="1"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dolores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peulic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BC6143" w:rsidRPr="00E11BB8" w:rsidRDefault="00BC6143" w:rsidP="00BC6143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E11BB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E11BB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E11BB8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E11BB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bCs/>
              </w:rPr>
              <w:sym w:font="Symbol" w:char="00C6"/>
            </w:r>
            <w:r w:rsidRPr="00E11BB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E11BB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E11BB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E11BB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E11BB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E11BB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E11BB8" w:rsidRDefault="009712A1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9712A1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E11BB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E11BB8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E11BB8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E11BB8">
              <w:rPr>
                <w:rFonts w:ascii="Tahoma" w:hAnsi="Tahoma" w:cs="Tahoma"/>
                <w:sz w:val="16"/>
              </w:rPr>
              <w:t xml:space="preserve">е </w:t>
            </w:r>
            <w:r w:rsidR="00477CB9" w:rsidRPr="00E11BB8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E11BB8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E11BB8">
              <w:rPr>
                <w:rFonts w:ascii="Tahoma" w:hAnsi="Tahoma" w:cs="Tahoma"/>
                <w:sz w:val="16"/>
              </w:rPr>
              <w:t xml:space="preserve"> </w:t>
            </w: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E11BB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E11BB8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E11BB8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E11BB8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E11BB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E11BB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2" w:history="1"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E11BB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E11BB8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E11BB8" w:rsidRDefault="009712A1" w:rsidP="008C3261">
      <w:pPr>
        <w:rPr>
          <w:lang w:val="sr-Cyrl-BA"/>
        </w:rPr>
      </w:pPr>
      <w:r w:rsidRPr="009712A1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E11BB8" w:rsidRDefault="00657939" w:rsidP="008C3261">
      <w:pPr>
        <w:rPr>
          <w:lang w:val="sr-Cyrl-BA"/>
        </w:rPr>
      </w:pPr>
    </w:p>
    <w:sectPr w:rsidR="00657939" w:rsidRPr="00E11BB8" w:rsidSect="005D5311">
      <w:headerReference w:type="default" r:id="rId23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25" w:rsidRDefault="001D2625">
      <w:r>
        <w:separator/>
      </w:r>
    </w:p>
  </w:endnote>
  <w:endnote w:type="continuationSeparator" w:id="0">
    <w:p w:rsidR="001D2625" w:rsidRDefault="001D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25" w:rsidRDefault="001D2625">
      <w:r>
        <w:separator/>
      </w:r>
    </w:p>
  </w:footnote>
  <w:footnote w:type="continuationSeparator" w:id="0">
    <w:p w:rsidR="001D2625" w:rsidRDefault="001D2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1D262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D2625" w:rsidRDefault="001D2625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1D2625" w:rsidRPr="00460A5B" w:rsidRDefault="001D2625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1D2625" w:rsidRPr="005D5311" w:rsidRDefault="001D2625" w:rsidP="004F7DB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>
            <w:rPr>
              <w:rFonts w:ascii="Tahoma" w:hAnsi="Tahoma" w:cs="Tahoma"/>
              <w:color w:val="0070C0"/>
              <w:sz w:val="16"/>
            </w:rPr>
            <w:t>5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новембар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1/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9712A1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9712A1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C675C1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9712A1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1D2625" w:rsidRDefault="009712A1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9712A1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mailto:dolores.peulic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ica.babic@rzs.rs.ba" TargetMode="External"/><Relationship Id="rId17" Type="http://schemas.openxmlformats.org/officeDocument/2006/relationships/hyperlink" Target="mailto:mirjana.bandur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yperlink" Target="mailto:miroslav.il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dranka.luburic@rzs.rs.ba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yperlink" Target="mailto:sanela.vasiljev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lka.ciganov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babicda\My%20Documents\BILJA\Plate%202011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okt2011\zaGraf%20okt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18"/>
          <c:w val="0.65206660337670563"/>
          <c:h val="0.74715927458220421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779</c:v>
                </c:pt>
                <c:pt idx="1">
                  <c:v>791</c:v>
                </c:pt>
                <c:pt idx="2">
                  <c:v>798</c:v>
                </c:pt>
                <c:pt idx="3">
                  <c:v>798</c:v>
                </c:pt>
                <c:pt idx="4">
                  <c:v>804</c:v>
                </c:pt>
                <c:pt idx="5">
                  <c:v>807</c:v>
                </c:pt>
                <c:pt idx="6">
                  <c:v>803</c:v>
                </c:pt>
                <c:pt idx="7">
                  <c:v>816</c:v>
                </c:pt>
                <c:pt idx="8">
                  <c:v>817</c:v>
                </c:pt>
                <c:pt idx="9">
                  <c:v>811</c:v>
                </c:pt>
                <c:pt idx="10">
                  <c:v>813</c:v>
                </c:pt>
                <c:pt idx="11">
                  <c:v>807</c:v>
                </c:pt>
                <c:pt idx="12">
                  <c:v>802</c:v>
                </c:pt>
              </c:numCache>
            </c:numRef>
          </c:val>
        </c:ser>
        <c:marker val="1"/>
        <c:axId val="30360320"/>
        <c:axId val="30361856"/>
      </c:lineChart>
      <c:catAx>
        <c:axId val="30360320"/>
        <c:scaling>
          <c:orientation val="minMax"/>
        </c:scaling>
        <c:axPos val="b"/>
        <c:tickLblPos val="nextTo"/>
        <c:crossAx val="30361856"/>
        <c:crosses val="autoZero"/>
        <c:lblAlgn val="ctr"/>
        <c:lblOffset val="100"/>
      </c:catAx>
      <c:valAx>
        <c:axId val="30361856"/>
        <c:scaling>
          <c:orientation val="minMax"/>
          <c:min val="360"/>
        </c:scaling>
        <c:axPos val="l"/>
        <c:majorGridlines/>
        <c:numFmt formatCode="General" sourceLinked="1"/>
        <c:tickLblPos val="nextTo"/>
        <c:crossAx val="3036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94708404835641"/>
          <c:y val="0.43513119788154986"/>
          <c:w val="0.25405291595164414"/>
          <c:h val="0.12167050897238467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336550</c:v>
                </c:pt>
                <c:pt idx="1">
                  <c:v>370462</c:v>
                </c:pt>
                <c:pt idx="2">
                  <c:v>371725</c:v>
                </c:pt>
                <c:pt idx="3">
                  <c:v>282340</c:v>
                </c:pt>
                <c:pt idx="4">
                  <c:v>318159</c:v>
                </c:pt>
                <c:pt idx="5">
                  <c:v>370953</c:v>
                </c:pt>
                <c:pt idx="6">
                  <c:v>344250</c:v>
                </c:pt>
                <c:pt idx="7">
                  <c:v>344720</c:v>
                </c:pt>
                <c:pt idx="8">
                  <c:v>467781</c:v>
                </c:pt>
                <c:pt idx="9">
                  <c:v>408777</c:v>
                </c:pt>
                <c:pt idx="10">
                  <c:v>375445</c:v>
                </c:pt>
                <c:pt idx="11">
                  <c:v>423853</c:v>
                </c:pt>
                <c:pt idx="12">
                  <c:v>396712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180418</c:v>
                </c:pt>
                <c:pt idx="1">
                  <c:v>198072</c:v>
                </c:pt>
                <c:pt idx="2">
                  <c:v>180839</c:v>
                </c:pt>
                <c:pt idx="3">
                  <c:v>175608</c:v>
                </c:pt>
                <c:pt idx="4">
                  <c:v>191390</c:v>
                </c:pt>
                <c:pt idx="5">
                  <c:v>212435</c:v>
                </c:pt>
                <c:pt idx="6">
                  <c:v>213851</c:v>
                </c:pt>
                <c:pt idx="7">
                  <c:v>207617</c:v>
                </c:pt>
                <c:pt idx="8">
                  <c:v>228912</c:v>
                </c:pt>
                <c:pt idx="9">
                  <c:v>214293</c:v>
                </c:pt>
                <c:pt idx="10">
                  <c:v>218369</c:v>
                </c:pt>
                <c:pt idx="11">
                  <c:v>248961</c:v>
                </c:pt>
                <c:pt idx="12">
                  <c:v>220958</c:v>
                </c:pt>
              </c:numCache>
            </c:numRef>
          </c:val>
        </c:ser>
        <c:marker val="1"/>
        <c:axId val="30404992"/>
        <c:axId val="30406528"/>
      </c:lineChart>
      <c:catAx>
        <c:axId val="30404992"/>
        <c:scaling>
          <c:orientation val="minMax"/>
        </c:scaling>
        <c:axPos val="b"/>
        <c:tickLblPos val="nextTo"/>
        <c:crossAx val="30406528"/>
        <c:crosses val="autoZero"/>
        <c:auto val="1"/>
        <c:lblAlgn val="ctr"/>
        <c:lblOffset val="100"/>
      </c:catAx>
      <c:valAx>
        <c:axId val="30406528"/>
        <c:scaling>
          <c:orientation val="minMax"/>
        </c:scaling>
        <c:axPos val="l"/>
        <c:majorGridlines/>
        <c:numFmt formatCode="#\ ##0" sourceLinked="0"/>
        <c:tickLblPos val="nextTo"/>
        <c:crossAx val="3040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176"/>
          <c:w val="0.17661111111111141"/>
          <c:h val="0.16743438320210052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plotArea>
      <c:layout>
        <c:manualLayout>
          <c:layoutTarget val="inner"/>
          <c:xMode val="edge"/>
          <c:yMode val="edge"/>
          <c:x val="0.18761760171632644"/>
          <c:y val="7.0025988696252789E-2"/>
          <c:w val="0.70117233624279995"/>
          <c:h val="0.6843166245853665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Пословни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10017</c:v>
                </c:pt>
                <c:pt idx="1">
                  <c:v>8520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Државни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1670</c:v>
                </c:pt>
                <c:pt idx="1">
                  <c:v>2019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Високо образовање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12879</c:v>
                </c:pt>
                <c:pt idx="1">
                  <c:v>10091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Непрофитни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  <c:pt idx="1">
                  <c:v>149</c:v>
                </c:pt>
              </c:numCache>
            </c:numRef>
          </c:val>
        </c:ser>
        <c:axId val="30257920"/>
        <c:axId val="30259456"/>
      </c:barChart>
      <c:catAx>
        <c:axId val="30257920"/>
        <c:scaling>
          <c:orientation val="minMax"/>
        </c:scaling>
        <c:axPos val="b"/>
        <c:numFmt formatCode="General" sourceLinked="1"/>
        <c:tickLblPos val="nextTo"/>
        <c:crossAx val="30259456"/>
        <c:crosses val="autoZero"/>
        <c:auto val="1"/>
        <c:lblAlgn val="ctr"/>
        <c:lblOffset val="100"/>
      </c:catAx>
      <c:valAx>
        <c:axId val="30259456"/>
        <c:scaling>
          <c:orientation val="minMax"/>
        </c:scaling>
        <c:axPos val="l"/>
        <c:majorGridlines/>
        <c:numFmt formatCode="#\ ##0" sourceLinked="0"/>
        <c:tickLblPos val="nextTo"/>
        <c:crossAx val="30257920"/>
        <c:crosses val="autoZero"/>
        <c:crossBetween val="between"/>
        <c:majorUnit val="2000"/>
      </c:valAx>
    </c:plotArea>
    <c:legend>
      <c:legendPos val="b"/>
    </c:legend>
    <c:plotVisOnly val="1"/>
  </c:chart>
  <c:spPr>
    <a:noFill/>
    <a:ln>
      <a:noFill/>
    </a:ln>
  </c:spPr>
  <c:txPr>
    <a:bodyPr/>
    <a:lstStyle/>
    <a:p>
      <a:pPr>
        <a:defRPr sz="800">
          <a:latin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EDA6-FB40-4DB6-906B-E4BF39E7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2672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18923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66</cp:revision>
  <cp:lastPrinted>2011-11-25T06:54:00Z</cp:lastPrinted>
  <dcterms:created xsi:type="dcterms:W3CDTF">2011-10-26T11:34:00Z</dcterms:created>
  <dcterms:modified xsi:type="dcterms:W3CDTF">2011-11-25T08:24:00Z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