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B91055" w:rsidTr="004C396C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Default="005D5311" w:rsidP="004C396C">
            <w:pPr>
              <w:ind w:left="113"/>
              <w:outlineLvl w:val="0"/>
              <w:rPr>
                <w:rFonts w:ascii="Tahoma" w:hAnsi="Tahoma" w:cs="Tahoma"/>
                <w:color w:val="FFCC00"/>
                <w:sz w:val="16"/>
              </w:rPr>
            </w:pP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noProof/>
                <w:color w:val="FFCC00"/>
                <w:sz w:val="16"/>
              </w:rPr>
              <w:drawing>
                <wp:inline distT="0" distB="0" distL="0" distR="0">
                  <wp:extent cx="3028950" cy="647700"/>
                  <wp:effectExtent l="19050" t="0" r="0" b="0"/>
                  <wp:docPr id="4" name="Picture 7" descr="Novi znak RZS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i znak RZS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Default="005D5311" w:rsidP="004C396C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Default="005D5311" w:rsidP="004C396C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Default="005D5311" w:rsidP="004C396C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Pr="004A6092" w:rsidRDefault="005D5311" w:rsidP="005D5311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8F3819">
              <w:rPr>
                <w:rFonts w:ascii="Tahoma" w:hAnsi="Tahoma" w:cs="Tahoma"/>
                <w:color w:val="0070C0"/>
                <w:sz w:val="16"/>
                <w:lang w:val="sr-Cyrl-BA"/>
              </w:rPr>
              <w:t>[</w:t>
            </w:r>
            <w:r>
              <w:rPr>
                <w:rFonts w:ascii="Tahoma" w:hAnsi="Tahoma" w:cs="Tahoma"/>
                <w:color w:val="0070C0"/>
                <w:sz w:val="16"/>
                <w:lang w:val="sr-Cyrl-CS"/>
              </w:rPr>
              <w:t>28</w:t>
            </w:r>
            <w:r>
              <w:rPr>
                <w:rFonts w:ascii="Tahoma" w:hAnsi="Tahoma" w:cs="Tahoma"/>
                <w:color w:val="3366FF"/>
                <w:sz w:val="16"/>
                <w:lang w:val="bs-Cyrl-BA"/>
              </w:rPr>
              <w:t xml:space="preserve">. </w:t>
            </w:r>
            <w:r w:rsidR="00541DAF">
              <w:rPr>
                <w:rFonts w:ascii="Tahoma" w:hAnsi="Tahoma" w:cs="Tahoma"/>
                <w:color w:val="3366FF"/>
                <w:sz w:val="16"/>
                <w:lang w:val="sr-Cyrl-CS"/>
              </w:rPr>
              <w:t>ju</w:t>
            </w:r>
            <w:r w:rsidR="00541DAF">
              <w:rPr>
                <w:rFonts w:ascii="Tahoma" w:hAnsi="Tahoma" w:cs="Tahoma"/>
                <w:color w:val="3366FF"/>
                <w:sz w:val="16"/>
                <w:lang w:val="bs-Cyrl-BA"/>
              </w:rPr>
              <w:t>l</w:t>
            </w:r>
            <w:r>
              <w:rPr>
                <w:rFonts w:ascii="Tahoma" w:hAnsi="Tahoma" w:cs="Tahoma"/>
                <w:color w:val="3366FF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color w:val="0070C0"/>
                <w:sz w:val="16"/>
                <w:lang w:val="sr-Cyrl-BA"/>
              </w:rPr>
              <w:t>201</w:t>
            </w:r>
            <w:r w:rsidRPr="006309EA">
              <w:rPr>
                <w:rFonts w:ascii="Tahoma" w:hAnsi="Tahoma" w:cs="Tahoma"/>
                <w:color w:val="0070C0"/>
                <w:sz w:val="16"/>
                <w:lang w:val="sr-Cyrl-BA"/>
              </w:rPr>
              <w:t>1</w:t>
            </w:r>
            <w:r w:rsidRPr="008F3819">
              <w:rPr>
                <w:rFonts w:ascii="Tahoma" w:hAnsi="Tahoma" w:cs="Tahoma"/>
                <w:color w:val="0070C0"/>
                <w:sz w:val="16"/>
                <w:lang w:val="sr-Cyrl-BA"/>
              </w:rPr>
              <w:t xml:space="preserve">.]  </w:t>
            </w:r>
            <w:r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07</w:t>
            </w:r>
            <w:r w:rsidRPr="008F3819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/</w:t>
            </w:r>
            <w:r w:rsidRPr="006309EA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1</w:t>
            </w:r>
            <w:r>
              <w:rPr>
                <w:rFonts w:ascii="Tahoma" w:hAnsi="Tahoma" w:cs="Tahoma"/>
                <w:b/>
                <w:color w:val="0070C0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B91055" w:rsidTr="004C396C">
        <w:trPr>
          <w:cantSplit/>
        </w:trPr>
        <w:tc>
          <w:tcPr>
            <w:tcW w:w="5385" w:type="dxa"/>
            <w:vAlign w:val="center"/>
          </w:tcPr>
          <w:p w:rsidR="005D5311" w:rsidRPr="008F3819" w:rsidRDefault="005D5311" w:rsidP="004C396C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8F3819" w:rsidRDefault="005D5311" w:rsidP="004C396C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</w:tr>
    </w:tbl>
    <w:p w:rsidR="000971CB" w:rsidRPr="008F3819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B91055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728B3" w:rsidRDefault="00541DAF" w:rsidP="00F2311A">
            <w:pPr>
              <w:jc w:val="center"/>
              <w:outlineLvl w:val="0"/>
              <w:rPr>
                <w:b/>
                <w:color w:val="FFFFFF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jul</w:t>
            </w:r>
            <w:r w:rsidR="002F5E38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BA"/>
              </w:rPr>
              <w:t xml:space="preserve"> </w:t>
            </w:r>
            <w:r w:rsidR="00FB64BA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2011</w:t>
            </w:r>
            <w:r w:rsidR="002F5E38" w:rsidRPr="008728B3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B91055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E61A6" w:rsidRDefault="00541DAF" w:rsidP="008728B3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ZA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3612AC" w:rsidRDefault="00B07584" w:rsidP="009215D1">
      <w:pPr>
        <w:spacing w:line="360" w:lineRule="auto"/>
        <w:jc w:val="both"/>
        <w:rPr>
          <w:lang w:val="sr-Cyrl-BA"/>
        </w:rPr>
      </w:pPr>
    </w:p>
    <w:p w:rsidR="00270462" w:rsidRPr="0052611C" w:rsidRDefault="00476E53" w:rsidP="00476E53">
      <w:pPr>
        <w:ind w:left="-142"/>
        <w:rPr>
          <w:rFonts w:ascii="Tahoma" w:hAnsi="Tahoma" w:cs="Tahoma"/>
          <w:b/>
          <w:sz w:val="28"/>
          <w:szCs w:val="28"/>
          <w:lang w:val="sr-Cyrl-CS"/>
        </w:rPr>
      </w:pPr>
      <w:r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Stopa</w:t>
      </w:r>
      <w:r w:rsidR="00270462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realnog</w:t>
      </w:r>
      <w:r w:rsidR="00270462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rasta</w:t>
      </w:r>
      <w:r w:rsidR="00CE1076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BDP</w:t>
      </w:r>
      <w:r w:rsidR="00270462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za</w:t>
      </w:r>
      <w:r w:rsidR="00270462" w:rsidRPr="0052611C">
        <w:rPr>
          <w:rFonts w:ascii="Tahoma" w:hAnsi="Tahoma" w:cs="Tahoma"/>
          <w:b/>
          <w:sz w:val="28"/>
          <w:szCs w:val="28"/>
          <w:lang w:val="sr-Cyrl-CS"/>
        </w:rPr>
        <w:t xml:space="preserve"> 2010.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godinu</w:t>
      </w:r>
      <w:r w:rsidR="00270462" w:rsidRPr="0052611C">
        <w:rPr>
          <w:rFonts w:ascii="Tahoma" w:hAnsi="Tahoma" w:cs="Tahoma"/>
          <w:b/>
          <w:sz w:val="28"/>
          <w:szCs w:val="28"/>
          <w:lang w:val="sr-Cyrl-CS"/>
        </w:rPr>
        <w:t xml:space="preserve"> 0,8%</w:t>
      </w:r>
      <w:r w:rsidR="0051445D" w:rsidRPr="0052611C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prethodni</w:t>
      </w:r>
      <w:r w:rsidR="0051445D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podaci</w:t>
      </w:r>
      <w:r w:rsidR="0051445D" w:rsidRPr="0052611C">
        <w:rPr>
          <w:rFonts w:ascii="Tahoma" w:hAnsi="Tahoma" w:cs="Tahoma"/>
          <w:b/>
          <w:sz w:val="28"/>
          <w:szCs w:val="28"/>
          <w:lang w:val="sr-Cyrl-CS"/>
        </w:rPr>
        <w:t>)</w:t>
      </w:r>
    </w:p>
    <w:p w:rsidR="00270462" w:rsidRPr="0052611C" w:rsidRDefault="00476E53" w:rsidP="00476E53">
      <w:pPr>
        <w:ind w:left="-142"/>
        <w:rPr>
          <w:rFonts w:ascii="Tahoma" w:hAnsi="Tahoma" w:cs="Tahoma"/>
          <w:sz w:val="24"/>
          <w:szCs w:val="24"/>
          <w:lang w:val="sr-Cyrl-CS"/>
        </w:rPr>
      </w:pPr>
      <w:r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U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odnosu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na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D6567D" w:rsidRPr="0052611C">
        <w:rPr>
          <w:rFonts w:ascii="Tahoma" w:hAnsi="Tahoma" w:cs="Tahoma"/>
          <w:sz w:val="24"/>
          <w:szCs w:val="24"/>
          <w:lang w:val="sr-Cyrl-CS"/>
        </w:rPr>
        <w:t>2009.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godinu</w:t>
      </w:r>
      <w:r w:rsidR="00D6567D" w:rsidRPr="0052611C">
        <w:rPr>
          <w:rFonts w:ascii="Tahoma" w:hAnsi="Tahoma" w:cs="Tahoma"/>
          <w:sz w:val="24"/>
          <w:szCs w:val="24"/>
          <w:lang w:val="sr-Cyrl-CS"/>
        </w:rPr>
        <w:t>,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BDP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nominalno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veći</w:t>
      </w:r>
      <w:r w:rsidR="00270462" w:rsidRPr="0052611C">
        <w:rPr>
          <w:rFonts w:ascii="Tahoma" w:hAnsi="Tahoma" w:cs="Tahoma"/>
          <w:sz w:val="24"/>
          <w:szCs w:val="24"/>
          <w:lang w:val="sr-Cyrl-CS"/>
        </w:rPr>
        <w:t xml:space="preserve"> 0,1%</w:t>
      </w:r>
      <w:r w:rsidR="0051445D" w:rsidRPr="0052611C">
        <w:rPr>
          <w:rFonts w:ascii="Tahoma" w:hAnsi="Tahoma" w:cs="Tahoma"/>
          <w:sz w:val="24"/>
          <w:szCs w:val="24"/>
          <w:lang w:val="sr-Cyrl-CS"/>
        </w:rPr>
        <w:t xml:space="preserve"> (</w:t>
      </w:r>
      <w:r w:rsidR="00541DAF">
        <w:rPr>
          <w:rFonts w:ascii="Tahoma" w:hAnsi="Tahoma" w:cs="Tahoma"/>
          <w:sz w:val="24"/>
          <w:szCs w:val="24"/>
          <w:lang w:val="sr-Cyrl-CS"/>
        </w:rPr>
        <w:t>prethodni</w:t>
      </w:r>
      <w:r w:rsidR="0051445D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41DAF">
        <w:rPr>
          <w:rFonts w:ascii="Tahoma" w:hAnsi="Tahoma" w:cs="Tahoma"/>
          <w:sz w:val="24"/>
          <w:szCs w:val="24"/>
          <w:lang w:val="sr-Cyrl-CS"/>
        </w:rPr>
        <w:t>podaci</w:t>
      </w:r>
      <w:r w:rsidR="0051445D" w:rsidRPr="0052611C">
        <w:rPr>
          <w:rFonts w:ascii="Tahoma" w:hAnsi="Tahoma" w:cs="Tahoma"/>
          <w:sz w:val="24"/>
          <w:szCs w:val="24"/>
          <w:lang w:val="sr-Cyrl-CS"/>
        </w:rPr>
        <w:t>)</w:t>
      </w:r>
    </w:p>
    <w:p w:rsidR="00E85AD4" w:rsidRPr="0052611C" w:rsidRDefault="00E85AD4" w:rsidP="004A08B4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62" w:type="dxa"/>
        <w:jc w:val="center"/>
        <w:tblCellMar>
          <w:left w:w="0" w:type="dxa"/>
          <w:right w:w="0" w:type="dxa"/>
        </w:tblCellMar>
        <w:tblLook w:val="0000"/>
      </w:tblPr>
      <w:tblGrid>
        <w:gridCol w:w="10462"/>
      </w:tblGrid>
      <w:tr w:rsidR="00E85AD4" w:rsidRPr="00B91055" w:rsidTr="00357478">
        <w:trPr>
          <w:trHeight w:hRule="exact" w:val="79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6B7A9D">
            <w:pPr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domaći</w:t>
            </w:r>
            <w:r w:rsidR="00E85AD4" w:rsidRPr="005D5311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proizvod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godinu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obračunat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primjenom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„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Proizvodne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metode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“,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iskazan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tekućim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cijenama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kao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prethodni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podatak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iznosi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>8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306 974 000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KM</w:t>
            </w:r>
            <w:r w:rsidR="00FD2C62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>,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5 797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stanovniku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="00DF6FB6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>2009.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godinu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nominalno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veći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1,0%,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realno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0,8%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E85AD4" w:rsidRPr="005D5311" w:rsidRDefault="00E85AD4" w:rsidP="006B7A9D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E85AD4" w:rsidRPr="005D5311" w:rsidRDefault="00E85AD4" w:rsidP="006B7A9D">
            <w:pPr>
              <w:ind w:left="8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E85AD4" w:rsidRPr="00B91055" w:rsidTr="005D5311">
        <w:trPr>
          <w:trHeight w:hRule="exact" w:val="817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6B7A9D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strukturi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domaćeg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najznačajnij</w:t>
            </w:r>
            <w:r w:rsidR="00E85AD4" w:rsidRPr="005D5311">
              <w:rPr>
                <w:rFonts w:ascii="Tahoma" w:hAnsi="Tahoma" w:cs="Tahoma"/>
                <w:sz w:val="18"/>
                <w:szCs w:val="18"/>
              </w:rPr>
              <w:t>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učešće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Trgovine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12,4%,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zatim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slijedi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Poljoprivreda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10,7%,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Državna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uprava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odbrana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obavezno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socijalno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osiguranje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9,8%,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potom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Poslovanje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nekretninama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iznajmljivanje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poslovne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djelatnosti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9,1%,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Prerađivačka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industrija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8,9%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itd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>.</w:t>
            </w:r>
          </w:p>
          <w:p w:rsidR="00E85AD4" w:rsidRPr="005D5311" w:rsidRDefault="00E85AD4" w:rsidP="006B7A9D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E85AD4" w:rsidRPr="00B91055" w:rsidTr="005D5311">
        <w:trPr>
          <w:trHeight w:hRule="exact" w:val="875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D74290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Najveći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realni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rast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djelatnosti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zabilježen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Vađenje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ruda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kamena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11,0%,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Prerađivačka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industrija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4,5%,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Ugostiteljstvo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3,6%,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Proizvodnja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snabdijevanje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električnom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energijom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gasom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vodom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3,0%,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dok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negativna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stopa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rasta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zabilježena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Ribarstvo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(–32,9%),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Građevinarstvo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(-7,9%)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Poljoprivreda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(-5,7%).</w:t>
            </w:r>
          </w:p>
        </w:tc>
      </w:tr>
      <w:tr w:rsidR="00E85AD4" w:rsidRPr="00B91055" w:rsidTr="00F415CC">
        <w:trPr>
          <w:trHeight w:hRule="exact" w:val="79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FD2C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dohodovnom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pristupu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strukturi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domaćeg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sredstva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zaposlene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46,6%,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potrošnju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fiksnog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kapitala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14,1%,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porezi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proizvodnju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-0,2%,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operativni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višak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mješoviti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dohodak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ostaje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23,1%.</w:t>
            </w:r>
          </w:p>
        </w:tc>
      </w:tr>
      <w:tr w:rsidR="00E85AD4" w:rsidRPr="00B91055" w:rsidTr="005D5311">
        <w:trPr>
          <w:trHeight w:hRule="exact" w:val="753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6B7A9D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Bitno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naglasiti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obračun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dodate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vrijednosti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domaćeg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zasniva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konceptu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Sistema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nacionalnih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računa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SNA- 93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Evropskog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sistema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računa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ESA-95,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čime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značajnoj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mjeri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osigurana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međunarodna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uporedivost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ovih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podataka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>.</w:t>
            </w:r>
          </w:p>
        </w:tc>
      </w:tr>
      <w:tr w:rsidR="00E85AD4" w:rsidRPr="00B91055" w:rsidTr="00565FA3">
        <w:trPr>
          <w:trHeight w:hRule="exact" w:val="411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E85AD4" w:rsidP="006B7A9D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E85AD4" w:rsidRPr="00B91055" w:rsidTr="005D5311">
        <w:trPr>
          <w:trHeight w:hRule="exact" w:val="996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6B7A9D">
            <w:pPr>
              <w:tabs>
                <w:tab w:val="left" w:pos="308"/>
              </w:tabs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Ostvarene</w:t>
            </w:r>
            <w:r w:rsidR="00E85AD4" w:rsidRPr="005D5311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investicije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poslovnih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subjekata</w:t>
            </w:r>
            <w:r w:rsidR="00CA36BA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prethodni</w:t>
            </w:r>
            <w:r w:rsidR="00CA36BA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podaci</w:t>
            </w:r>
            <w:r w:rsidR="00CA36BA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>)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čije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sjedište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Republici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Srpskoj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godini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iznosile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1 436 994 000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strukturi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investicionih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ulaganja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djelatnosti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investitora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najviše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učestvuju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D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ržavna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uprava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odbrana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obavezno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socijalno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osiguranje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29,1%,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Trgovin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14,2%, 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Prerađivačka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industrija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>13,4%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itd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CS"/>
              </w:rPr>
              <w:t>.</w:t>
            </w:r>
          </w:p>
          <w:p w:rsidR="00E85AD4" w:rsidRPr="005D5311" w:rsidRDefault="00E85AD4" w:rsidP="006B7A9D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E85AD4" w:rsidRPr="00B91055" w:rsidTr="00F415CC">
        <w:trPr>
          <w:trHeight w:hRule="exact" w:val="1588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E85AD4" w:rsidRPr="005D5311" w:rsidRDefault="00541DAF" w:rsidP="00445CA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Ostvarene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investicije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poslovnih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subjekata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registrovanih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teritoriji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Republike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Srpske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nova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stalna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sredstva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prema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namjeni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investicija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godini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iznose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1 282 278 000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Od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toga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teritoriji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Republike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Srpske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uloženo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1 261 582 000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(98,4%),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teritoriji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Federacije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BiH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Brčko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Distrikta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20 667 000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(1,6%),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dok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izvan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teritorije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BiH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uloženo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29 000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KM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strukturi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investicionih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ulaganja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nova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stalna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sredstva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teritoriji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Republike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Srpske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prema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namjeni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najviše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učestvuju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Građevinarstvo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24,5%,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T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rgovina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 xml:space="preserve"> 13,3%,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Prerađivačka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industrija</w:t>
            </w:r>
            <w:r w:rsidR="00E85AD4" w:rsidRPr="005D5311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ru-RU"/>
              </w:rPr>
              <w:t>12,6%</w:t>
            </w:r>
            <w:r w:rsidR="00E85AD4" w:rsidRPr="005D5311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. </w:t>
            </w:r>
          </w:p>
        </w:tc>
      </w:tr>
    </w:tbl>
    <w:p w:rsidR="00E85AD4" w:rsidRPr="0052611C" w:rsidRDefault="00FC7645" w:rsidP="004A08B4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  <w:lang w:val="ru-RU"/>
        </w:rPr>
      </w:pPr>
      <w:r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</w:p>
    <w:p w:rsidR="005E0301" w:rsidRPr="0052611C" w:rsidRDefault="00FC7645" w:rsidP="004A08B4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  <w:lang w:val="ru-RU"/>
        </w:rPr>
      </w:pPr>
      <w:r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Prosječn</w:t>
      </w:r>
      <w:r w:rsidR="00541DAF"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sr-Cyrl-CS"/>
        </w:rPr>
        <w:t>junu</w:t>
      </w:r>
      <w:r w:rsidR="0032304A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52611C">
        <w:rPr>
          <w:rFonts w:ascii="Tahoma" w:hAnsi="Tahoma" w:cs="Tahoma"/>
          <w:b/>
          <w:sz w:val="28"/>
          <w:szCs w:val="28"/>
          <w:lang w:val="sr-Cyrl-CS"/>
        </w:rPr>
        <w:t>8</w:t>
      </w:r>
      <w:r w:rsidR="0032304A" w:rsidRPr="0052611C">
        <w:rPr>
          <w:rFonts w:ascii="Tahoma" w:hAnsi="Tahoma" w:cs="Tahoma"/>
          <w:b/>
          <w:sz w:val="28"/>
          <w:szCs w:val="28"/>
          <w:lang w:val="sr-Cyrl-BA"/>
        </w:rPr>
        <w:t>1</w:t>
      </w:r>
      <w:r w:rsidR="00D36059" w:rsidRPr="0052611C">
        <w:rPr>
          <w:rFonts w:ascii="Tahoma" w:hAnsi="Tahoma" w:cs="Tahoma"/>
          <w:b/>
          <w:sz w:val="28"/>
          <w:szCs w:val="28"/>
          <w:lang w:val="sr-Cyrl-BA"/>
        </w:rPr>
        <w:t>7</w:t>
      </w:r>
      <w:r w:rsidR="000668D4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41DAF"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52611C" w:rsidRDefault="00541DAF" w:rsidP="005E0301">
      <w:pPr>
        <w:tabs>
          <w:tab w:val="left" w:pos="4343"/>
        </w:tabs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52611C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52611C">
        <w:rPr>
          <w:rFonts w:ascii="Tahoma" w:hAnsi="Tahoma" w:cs="Tahoma"/>
          <w:sz w:val="24"/>
          <w:szCs w:val="24"/>
          <w:lang w:val="sr-Cyrl-CS"/>
        </w:rPr>
        <w:t>2</w:t>
      </w:r>
      <w:r w:rsidR="00D36059" w:rsidRPr="0052611C">
        <w:rPr>
          <w:rFonts w:ascii="Tahoma" w:hAnsi="Tahoma" w:cs="Tahoma"/>
          <w:sz w:val="24"/>
          <w:szCs w:val="24"/>
          <w:lang w:val="sr-Cyrl-CS"/>
        </w:rPr>
        <w:t>47</w:t>
      </w:r>
      <w:r w:rsidR="00B61F72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Ugostiteljstvo</w:t>
      </w:r>
      <w:r w:rsidR="00D36059" w:rsidRPr="0052611C">
        <w:rPr>
          <w:rFonts w:ascii="Tahoma" w:hAnsi="Tahoma" w:cs="Tahoma"/>
          <w:sz w:val="24"/>
          <w:szCs w:val="24"/>
          <w:lang w:val="sr-Cyrl-CS"/>
        </w:rPr>
        <w:t xml:space="preserve"> 547</w:t>
      </w:r>
      <w:r w:rsidR="0032304A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52611C" w:rsidRDefault="005E0301" w:rsidP="005E0301">
      <w:pPr>
        <w:tabs>
          <w:tab w:val="left" w:pos="4343"/>
        </w:tabs>
        <w:rPr>
          <w:rFonts w:ascii="Tahoma" w:hAnsi="Tahoma" w:cs="Tahoma"/>
          <w:b/>
          <w:sz w:val="28"/>
          <w:szCs w:val="28"/>
          <w:lang w:val="ru-RU"/>
        </w:rPr>
      </w:pPr>
    </w:p>
    <w:p w:rsidR="0089681F" w:rsidRPr="0052611C" w:rsidRDefault="00541DAF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5E0301" w:rsidRPr="0052611C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5E0301" w:rsidRPr="0052611C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5E0301" w:rsidRPr="0052611C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B64BA" w:rsidRPr="0052611C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2611C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B61F72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>201</w:t>
      </w:r>
      <w:r w:rsidR="00FB64BD" w:rsidRPr="0052611C">
        <w:rPr>
          <w:rFonts w:ascii="Tahoma" w:hAnsi="Tahoma" w:cs="Tahoma"/>
          <w:sz w:val="18"/>
          <w:szCs w:val="18"/>
          <w:lang w:val="sr-Cyrl-CS"/>
        </w:rPr>
        <w:t>1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>.</w:t>
      </w:r>
      <w:r w:rsidR="005E0301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52611C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32304A" w:rsidRPr="0052611C">
        <w:rPr>
          <w:rFonts w:ascii="Tahoma" w:hAnsi="Tahoma" w:cs="Tahoma"/>
          <w:b/>
          <w:sz w:val="18"/>
          <w:szCs w:val="18"/>
          <w:lang w:val="sr-Cyrl-CS"/>
        </w:rPr>
        <w:t>81</w:t>
      </w:r>
      <w:r w:rsidR="00D36059" w:rsidRPr="0052611C">
        <w:rPr>
          <w:rFonts w:ascii="Tahoma" w:hAnsi="Tahoma" w:cs="Tahoma"/>
          <w:b/>
          <w:sz w:val="18"/>
          <w:szCs w:val="18"/>
          <w:lang w:val="sr-Cyrl-CS"/>
        </w:rPr>
        <w:t>7</w:t>
      </w:r>
      <w:r w:rsidR="005E0301" w:rsidRPr="0052611C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KM</w:t>
      </w:r>
      <w:r w:rsidR="005E0301" w:rsidRPr="0052611C">
        <w:rPr>
          <w:rFonts w:ascii="Tahoma" w:hAnsi="Tahoma" w:cs="Tahoma"/>
          <w:sz w:val="18"/>
          <w:szCs w:val="18"/>
          <w:lang w:val="hr-HR"/>
        </w:rPr>
        <w:t>,</w:t>
      </w:r>
      <w:r w:rsidR="005E0301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5E0301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5E0301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0301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4BA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1 </w:t>
      </w:r>
      <w:r w:rsidR="00A727AE" w:rsidRPr="0052611C">
        <w:rPr>
          <w:rFonts w:ascii="Tahoma" w:hAnsi="Tahoma" w:cs="Tahoma"/>
          <w:sz w:val="18"/>
          <w:szCs w:val="18"/>
          <w:lang w:val="sr-Cyrl-CS"/>
        </w:rPr>
        <w:t>3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>4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>7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C81476" w:rsidRPr="0052611C" w:rsidRDefault="00C81476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A727AE" w:rsidRPr="0052611C" w:rsidRDefault="00541DAF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24AF0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>80</w:t>
      </w:r>
      <w:r w:rsidR="00D36059" w:rsidRPr="0052611C">
        <w:rPr>
          <w:rFonts w:ascii="Tahoma" w:hAnsi="Tahoma" w:cs="Tahoma"/>
          <w:sz w:val="18"/>
          <w:szCs w:val="18"/>
          <w:lang w:val="sr-Cyrl-BA"/>
        </w:rPr>
        <w:t>8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>1</w:t>
      </w:r>
      <w:r w:rsidR="00B61F72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>3</w:t>
      </w:r>
      <w:r w:rsidR="00D36059" w:rsidRPr="0052611C">
        <w:rPr>
          <w:rFonts w:ascii="Tahoma" w:hAnsi="Tahoma" w:cs="Tahoma"/>
          <w:sz w:val="18"/>
          <w:szCs w:val="18"/>
          <w:lang w:val="sr-Cyrl-BA"/>
        </w:rPr>
        <w:t>16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. 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prošle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3193B" w:rsidRPr="0052611C">
        <w:rPr>
          <w:rFonts w:ascii="Tahoma" w:hAnsi="Tahoma" w:cs="Tahoma"/>
          <w:sz w:val="18"/>
          <w:szCs w:val="18"/>
          <w:lang w:val="sr-Cyrl-BA"/>
        </w:rPr>
        <w:t>,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A727A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36059" w:rsidRPr="0052611C">
        <w:rPr>
          <w:rFonts w:ascii="Tahoma" w:hAnsi="Tahoma" w:cs="Tahoma"/>
          <w:sz w:val="18"/>
          <w:szCs w:val="18"/>
          <w:lang w:val="sr-Cyrl-BA"/>
        </w:rPr>
        <w:t>3,7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2304A" w:rsidRPr="0052611C">
        <w:rPr>
          <w:rFonts w:ascii="Tahoma" w:hAnsi="Tahoma" w:cs="Tahoma"/>
          <w:sz w:val="18"/>
          <w:szCs w:val="18"/>
          <w:lang w:val="sr-Cyrl-BA"/>
        </w:rPr>
        <w:t xml:space="preserve"> 0,2</w:t>
      </w:r>
      <w:r w:rsidR="000668D4" w:rsidRPr="0052611C">
        <w:rPr>
          <w:rFonts w:ascii="Tahoma" w:hAnsi="Tahoma" w:cs="Tahoma"/>
          <w:sz w:val="18"/>
          <w:szCs w:val="18"/>
          <w:lang w:val="sr-Cyrl-BA"/>
        </w:rPr>
        <w:t>%</w:t>
      </w:r>
      <w:r w:rsidR="000B62D8" w:rsidRPr="0052611C">
        <w:rPr>
          <w:rFonts w:ascii="Tahoma" w:hAnsi="Tahoma" w:cs="Tahoma"/>
          <w:sz w:val="18"/>
          <w:szCs w:val="18"/>
          <w:lang w:val="sr-Cyrl-BA"/>
        </w:rPr>
        <w:t>.</w:t>
      </w:r>
    </w:p>
    <w:p w:rsidR="00EA0231" w:rsidRPr="0052611C" w:rsidRDefault="00EA0231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E3F1D" w:rsidRPr="0052611C" w:rsidRDefault="00541DAF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E412B" w:rsidRPr="0052611C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E412B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668D4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0668D4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0668D4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6075B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6075B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>0,2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>%</w:t>
      </w:r>
      <w:r w:rsidR="00B72FE4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0,9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0B62D8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F6757" w:rsidRPr="0052611C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F675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4,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>3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>%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>,</w:t>
      </w:r>
      <w:r w:rsidR="00D36059" w:rsidRPr="0052611C">
        <w:rPr>
          <w:rFonts w:ascii="Tahoma" w:hAnsi="Tahoma" w:cs="Tahoma"/>
          <w:sz w:val="18"/>
          <w:szCs w:val="18"/>
          <w:lang w:val="sr-Cyrl-CS"/>
        </w:rPr>
        <w:t>7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>3</w:t>
      </w:r>
      <w:r w:rsidR="009F6F37" w:rsidRPr="0052611C">
        <w:rPr>
          <w:rFonts w:ascii="Tahoma" w:hAnsi="Tahoma" w:cs="Tahoma"/>
          <w:sz w:val="18"/>
          <w:szCs w:val="18"/>
          <w:lang w:val="sr-Cyrl-CS"/>
        </w:rPr>
        <w:t>,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>6%,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32304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351BFE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59781F" w:rsidRPr="0052611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 xml:space="preserve"> 0,4</w:t>
      </w:r>
      <w:r w:rsidR="00114AA6" w:rsidRPr="0052611C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52611C" w:rsidRDefault="000B62D8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52611C" w:rsidRDefault="00541DAF" w:rsidP="005E0301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351BFE" w:rsidRPr="0052611C">
        <w:rPr>
          <w:rFonts w:ascii="Tahoma" w:hAnsi="Tahoma" w:cs="Tahoma"/>
          <w:sz w:val="18"/>
          <w:szCs w:val="18"/>
          <w:lang w:val="sr-Cyrl-CS"/>
        </w:rPr>
        <w:t>2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>47</w:t>
      </w:r>
      <w:r w:rsidR="00C03F53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Ugostiteljstvo</w:t>
      </w:r>
      <w:r w:rsidR="00351BFE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>5</w:t>
      </w:r>
      <w:r w:rsidR="0059781F" w:rsidRPr="0052611C">
        <w:rPr>
          <w:rFonts w:ascii="Tahoma" w:hAnsi="Tahoma" w:cs="Tahoma"/>
          <w:sz w:val="18"/>
          <w:szCs w:val="18"/>
          <w:lang w:val="sr-Cyrl-CS"/>
        </w:rPr>
        <w:t>47</w:t>
      </w:r>
      <w:r w:rsidR="00C36EC5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52611C" w:rsidRDefault="0089681F" w:rsidP="005E0301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52611C" w:rsidRDefault="00541DAF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F4528D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52611C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52611C">
        <w:rPr>
          <w:rFonts w:ascii="Tahoma" w:hAnsi="Tahoma" w:cs="Tahoma"/>
          <w:sz w:val="18"/>
          <w:szCs w:val="18"/>
          <w:lang w:val="ru-RU"/>
        </w:rPr>
        <w:t>.</w:t>
      </w:r>
      <w:r w:rsidR="003E412B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52611C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3E412B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 w:rsidR="003C4748" w:rsidRPr="0052611C">
        <w:rPr>
          <w:rFonts w:ascii="Tahoma" w:hAnsi="Tahoma" w:cs="Tahoma"/>
          <w:sz w:val="18"/>
          <w:szCs w:val="18"/>
          <w:lang w:val="ru-RU"/>
        </w:rPr>
        <w:t>2011.</w:t>
      </w:r>
      <w:r w:rsidR="00C36EC5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52611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0301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351BFE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>9</w:t>
      </w:r>
      <w:r w:rsidR="0043513A" w:rsidRPr="0052611C">
        <w:rPr>
          <w:rFonts w:ascii="Tahoma" w:hAnsi="Tahoma" w:cs="Tahoma"/>
          <w:i/>
          <w:sz w:val="18"/>
          <w:szCs w:val="18"/>
          <w:lang w:val="sr-Cyrl-CS"/>
        </w:rPr>
        <w:t>,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>0</w:t>
      </w:r>
      <w:r w:rsidR="008F6757" w:rsidRPr="0052611C">
        <w:rPr>
          <w:rFonts w:ascii="Tahoma" w:hAnsi="Tahoma" w:cs="Tahoma"/>
          <w:i/>
          <w:sz w:val="18"/>
          <w:szCs w:val="18"/>
          <w:lang w:val="sr-Cyrl-CS"/>
        </w:rPr>
        <w:t>%</w:t>
      </w:r>
      <w:r w:rsidR="00CE200B" w:rsidRPr="0052611C">
        <w:rPr>
          <w:rFonts w:ascii="Tahoma" w:hAnsi="Tahoma" w:cs="Tahoma"/>
          <w:i/>
          <w:sz w:val="18"/>
          <w:szCs w:val="18"/>
          <w:lang w:val="sr-Cyrl-CS"/>
        </w:rPr>
        <w:t>,</w:t>
      </w:r>
      <w:r w:rsidR="008F6757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2,8</w:t>
      </w:r>
      <w:r w:rsidR="008F6757" w:rsidRPr="0052611C">
        <w:rPr>
          <w:rFonts w:ascii="Tahoma" w:hAnsi="Tahoma" w:cs="Tahoma"/>
          <w:i/>
          <w:sz w:val="18"/>
          <w:szCs w:val="18"/>
          <w:lang w:val="sr-Cyrl-CS"/>
        </w:rPr>
        <w:t>%</w:t>
      </w:r>
      <w:r w:rsidR="00CE200B" w:rsidRPr="0052611C">
        <w:rPr>
          <w:rFonts w:ascii="Tahoma" w:hAnsi="Tahoma" w:cs="Tahoma"/>
          <w:i/>
          <w:sz w:val="18"/>
          <w:szCs w:val="18"/>
          <w:lang w:val="sr-Cyrl-CS"/>
        </w:rPr>
        <w:t>,</w:t>
      </w:r>
      <w:r w:rsidR="008F6757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1,8%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lastRenderedPageBreak/>
        <w:t>djelatnosti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1,7%,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Saobraćaj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skladištenje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komunikacije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1,7%, </w:t>
      </w:r>
      <w:r>
        <w:rPr>
          <w:rFonts w:ascii="Tahoma" w:hAnsi="Tahoma" w:cs="Tahoma"/>
          <w:sz w:val="18"/>
          <w:szCs w:val="18"/>
          <w:lang w:val="sr-Cyrl-CS"/>
        </w:rPr>
        <w:t>Ugostiteljstvo</w:t>
      </w:r>
      <w:r w:rsidR="008F675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6086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>1,6</w:t>
      </w:r>
      <w:r w:rsidR="008F6757" w:rsidRPr="0052611C">
        <w:rPr>
          <w:rFonts w:ascii="Tahoma" w:hAnsi="Tahoma" w:cs="Tahoma"/>
          <w:sz w:val="18"/>
          <w:szCs w:val="18"/>
          <w:lang w:val="sr-Cyrl-CS"/>
        </w:rPr>
        <w:t>%</w:t>
      </w:r>
      <w:r w:rsidR="0076086A" w:rsidRPr="0052611C">
        <w:rPr>
          <w:rFonts w:ascii="Tahoma" w:hAnsi="Tahoma" w:cs="Tahoma"/>
          <w:sz w:val="18"/>
          <w:szCs w:val="18"/>
          <w:lang w:val="sr-Cyrl-CS"/>
        </w:rPr>
        <w:t>,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76086A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0,8%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F6757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Građevinarstvo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528D" w:rsidRPr="0052611C">
        <w:rPr>
          <w:rFonts w:ascii="Tahoma" w:hAnsi="Tahoma" w:cs="Tahoma"/>
          <w:sz w:val="18"/>
          <w:szCs w:val="18"/>
          <w:lang w:val="sr-Cyrl-CS"/>
        </w:rPr>
        <w:t xml:space="preserve"> 0,1%</w:t>
      </w:r>
      <w:r w:rsidR="00F4528D" w:rsidRPr="0052611C">
        <w:rPr>
          <w:rFonts w:ascii="Tahoma" w:hAnsi="Tahoma" w:cs="Tahoma"/>
          <w:i/>
          <w:sz w:val="18"/>
          <w:szCs w:val="18"/>
          <w:lang w:val="sr-Cyrl-CS"/>
        </w:rPr>
        <w:t>.</w:t>
      </w:r>
    </w:p>
    <w:p w:rsidR="0076086A" w:rsidRPr="0052611C" w:rsidRDefault="0076086A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60B18" w:rsidRPr="0052611C" w:rsidRDefault="00460B18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65FA3" w:rsidRPr="0052611C" w:rsidRDefault="00565FA3" w:rsidP="005E0301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52611C" w:rsidRDefault="00565FA3" w:rsidP="005E0301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52611C" w:rsidRDefault="00954CF1" w:rsidP="005E0301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954CF1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34.25pt;margin-top:5.15pt;width:41.05pt;height:26.5pt;z-index:251659264;mso-width-relative:margin;mso-height-relative:margin" stroked="f">
            <v:textbox style="mso-next-textbox:#_x0000_s1063">
              <w:txbxContent>
                <w:p w:rsidR="00F4528D" w:rsidRPr="0078288A" w:rsidRDefault="00F4528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8406F4" w:rsidRPr="0052611C" w:rsidRDefault="008406F4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F1FE7" w:rsidRPr="0052611C" w:rsidRDefault="00954CF1" w:rsidP="00AF1FE7">
      <w:pPr>
        <w:jc w:val="center"/>
        <w:rPr>
          <w:rFonts w:ascii="Tahoma" w:hAnsi="Tahoma" w:cs="Tahoma"/>
          <w:sz w:val="18"/>
          <w:szCs w:val="18"/>
        </w:rPr>
      </w:pPr>
      <w:r w:rsidRPr="00954CF1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129.05pt;margin-top:169.8pt;width:38.45pt;height:18.8pt;z-index:251660288;mso-height-percent:200;mso-height-percent:200;mso-width-relative:margin;mso-height-relative:margin" strokecolor="white">
            <v:textbox style="mso-fit-shape-to-text:t">
              <w:txbxContent>
                <w:p w:rsidR="00F4528D" w:rsidRPr="00A56A4A" w:rsidRDefault="00F4528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6A4A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2010.</w:t>
                  </w:r>
                </w:p>
              </w:txbxContent>
            </v:textbox>
          </v:shape>
        </w:pict>
      </w:r>
      <w:r w:rsidRPr="00954CF1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370.75pt;margin-top:170.4pt;width:38.45pt;height:18.8pt;z-index:251661312;mso-height-percent:200;mso-height-percent:200;mso-width-relative:margin;mso-height-relative:margin" strokecolor="white">
            <v:textbox style="mso-fit-shape-to-text:t">
              <w:txbxContent>
                <w:p w:rsidR="00F4528D" w:rsidRPr="00A56A4A" w:rsidRDefault="00F4528D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56A4A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201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1</w:t>
                  </w:r>
                  <w:r w:rsidRPr="00A56A4A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3802FC" w:rsidRPr="0052611C">
        <w:rPr>
          <w:rFonts w:ascii="Tahoma" w:hAnsi="Tahoma" w:cs="Tahoma"/>
          <w:noProof/>
          <w:sz w:val="16"/>
        </w:rPr>
        <w:drawing>
          <wp:inline distT="0" distB="0" distL="0" distR="0">
            <wp:extent cx="5537835" cy="265557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0301" w:rsidRPr="0052611C" w:rsidRDefault="00541DAF" w:rsidP="005E0301">
      <w:pPr>
        <w:ind w:left="-142"/>
        <w:jc w:val="center"/>
        <w:outlineLvl w:val="0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52611C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0328B8" w:rsidRPr="0052611C">
        <w:rPr>
          <w:rFonts w:ascii="Tahoma" w:hAnsi="Tahoma" w:cs="Tahoma"/>
          <w:sz w:val="16"/>
          <w:szCs w:val="16"/>
        </w:rPr>
        <w:t>1</w:t>
      </w:r>
      <w:r w:rsidR="005E0301" w:rsidRPr="0052611C">
        <w:rPr>
          <w:rFonts w:ascii="Tahoma" w:hAnsi="Tahoma" w:cs="Tahoma"/>
          <w:sz w:val="16"/>
          <w:szCs w:val="16"/>
          <w:lang w:val="ru-RU"/>
        </w:rPr>
        <w:t>.</w:t>
      </w:r>
      <w:r w:rsidR="005E0301" w:rsidRPr="0052611C">
        <w:rPr>
          <w:rFonts w:ascii="Tahoma" w:hAnsi="Tahoma" w:cs="Tahoma"/>
          <w:sz w:val="16"/>
          <w:szCs w:val="16"/>
          <w:lang w:val="sr-Cyrl-BA"/>
        </w:rPr>
        <w:t xml:space="preserve"> </w:t>
      </w:r>
      <w:r>
        <w:rPr>
          <w:rFonts w:ascii="Tahoma" w:hAnsi="Tahoma" w:cs="Tahoma"/>
          <w:sz w:val="16"/>
          <w:lang w:val="sr-Cyrl-CS"/>
        </w:rPr>
        <w:t>P</w:t>
      </w:r>
      <w:r>
        <w:rPr>
          <w:rFonts w:ascii="Tahoma" w:hAnsi="Tahoma" w:cs="Tahoma"/>
          <w:sz w:val="16"/>
          <w:lang w:val="ru-RU"/>
        </w:rPr>
        <w:t>rosječn</w:t>
      </w:r>
      <w:r w:rsidR="005E0301" w:rsidRPr="0052611C">
        <w:rPr>
          <w:rFonts w:ascii="Tahoma" w:hAnsi="Tahoma" w:cs="Tahoma"/>
          <w:sz w:val="16"/>
        </w:rPr>
        <w:t>e</w:t>
      </w:r>
      <w:r w:rsidR="005E0301" w:rsidRPr="0052611C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neto</w:t>
      </w:r>
      <w:r w:rsidR="005E0301" w:rsidRPr="0052611C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plat</w:t>
      </w:r>
      <w:r w:rsidR="005E0301" w:rsidRPr="0052611C">
        <w:rPr>
          <w:rFonts w:ascii="Tahoma" w:hAnsi="Tahoma" w:cs="Tahoma"/>
          <w:sz w:val="16"/>
        </w:rPr>
        <w:t>e</w:t>
      </w:r>
      <w:r w:rsidR="005E0301" w:rsidRPr="0052611C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zaposlenih</w:t>
      </w:r>
      <w:r w:rsidR="005E0301" w:rsidRPr="0052611C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po</w:t>
      </w:r>
      <w:r w:rsidR="005E0301" w:rsidRPr="0052611C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mjesecima</w:t>
      </w:r>
    </w:p>
    <w:p w:rsidR="005E0301" w:rsidRPr="0052611C" w:rsidRDefault="005E0301" w:rsidP="005E0301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52611C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52611C" w:rsidRDefault="005E0301" w:rsidP="005E030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p w:rsidR="001561A7" w:rsidRPr="0052611C" w:rsidRDefault="00541DAF" w:rsidP="001561A7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1561A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561A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1561A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junu</w:t>
      </w:r>
      <w:r w:rsidR="001561A7" w:rsidRPr="0052611C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6869EB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6869EB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F14A0" w:rsidRPr="0052611C">
        <w:rPr>
          <w:rFonts w:ascii="Tahoma" w:hAnsi="Tahoma" w:cs="Tahoma"/>
          <w:b/>
          <w:sz w:val="28"/>
          <w:szCs w:val="28"/>
          <w:lang w:val="sr-Cyrl-BA"/>
        </w:rPr>
        <w:t>-</w:t>
      </w:r>
      <w:r w:rsidR="006869EB" w:rsidRPr="0052611C">
        <w:rPr>
          <w:rFonts w:ascii="Tahoma" w:hAnsi="Tahoma" w:cs="Tahoma"/>
          <w:b/>
          <w:sz w:val="28"/>
          <w:szCs w:val="28"/>
          <w:lang w:val="sr-Cyrl-BA"/>
        </w:rPr>
        <w:t>0,</w:t>
      </w:r>
      <w:r w:rsidR="005F14A0" w:rsidRPr="0052611C">
        <w:rPr>
          <w:rFonts w:ascii="Tahoma" w:hAnsi="Tahoma" w:cs="Tahoma"/>
          <w:b/>
          <w:sz w:val="28"/>
          <w:szCs w:val="28"/>
          <w:lang w:val="sr-Cyrl-BA"/>
        </w:rPr>
        <w:t>7</w:t>
      </w:r>
      <w:r w:rsidR="006869EB" w:rsidRPr="0052611C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52611C" w:rsidRDefault="00541DAF" w:rsidP="001561A7">
      <w:pPr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1561A7" w:rsidRPr="0052611C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1561A7" w:rsidRPr="0052611C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8B18BE" w:rsidRPr="0052611C">
        <w:rPr>
          <w:rFonts w:ascii="Tahoma" w:hAnsi="Tahoma" w:cs="Tahoma"/>
          <w:sz w:val="24"/>
          <w:szCs w:val="24"/>
        </w:rPr>
        <w:t>V</w:t>
      </w:r>
      <w:r w:rsidR="005F14A0" w:rsidRPr="0052611C">
        <w:rPr>
          <w:rFonts w:ascii="Tahoma" w:hAnsi="Tahoma" w:cs="Tahoma"/>
          <w:sz w:val="24"/>
          <w:szCs w:val="24"/>
          <w:lang w:val="sr-Cyrl-BA"/>
        </w:rPr>
        <w:t>I</w:t>
      </w:r>
      <w:r w:rsidR="001561A7" w:rsidRPr="0052611C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8B18BE" w:rsidRPr="0052611C">
        <w:rPr>
          <w:rFonts w:ascii="Tahoma" w:hAnsi="Tahoma" w:cs="Tahoma"/>
          <w:sz w:val="24"/>
          <w:szCs w:val="24"/>
        </w:rPr>
        <w:t>V</w:t>
      </w:r>
      <w:r w:rsidR="005F14A0" w:rsidRPr="0052611C">
        <w:rPr>
          <w:rFonts w:ascii="Tahoma" w:hAnsi="Tahoma" w:cs="Tahoma"/>
          <w:sz w:val="24"/>
          <w:szCs w:val="24"/>
        </w:rPr>
        <w:t>I</w:t>
      </w:r>
      <w:r w:rsidR="001561A7" w:rsidRPr="0052611C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52611C">
        <w:rPr>
          <w:rFonts w:ascii="Tahoma" w:hAnsi="Tahoma" w:cs="Tahoma"/>
          <w:sz w:val="24"/>
          <w:szCs w:val="24"/>
          <w:lang w:val="sr-Cyrl-BA"/>
        </w:rPr>
        <w:t>.</w:t>
      </w:r>
      <w:r w:rsidR="005F14A0" w:rsidRPr="0052611C">
        <w:rPr>
          <w:rFonts w:ascii="Tahoma" w:hAnsi="Tahoma" w:cs="Tahoma"/>
          <w:sz w:val="24"/>
          <w:szCs w:val="24"/>
          <w:lang w:val="sr-Cyrl-BA"/>
        </w:rPr>
        <w:t>) 4,0</w:t>
      </w:r>
      <w:r w:rsidR="001561A7" w:rsidRPr="0052611C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52611C" w:rsidRDefault="001561A7" w:rsidP="001561A7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5D5311" w:rsidRDefault="00541DAF" w:rsidP="001561A7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  <w:r>
        <w:rPr>
          <w:rFonts w:ascii="Tahoma" w:hAnsi="Tahoma" w:cs="Tahoma"/>
          <w:szCs w:val="18"/>
          <w:lang w:val="sr-Cyrl-BA"/>
        </w:rPr>
        <w:t>Cijene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proizvoda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usluga</w:t>
      </w:r>
      <w:r w:rsidR="001561A7" w:rsidRPr="005D5311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koje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koriste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ličnu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potrošnju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Republici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Srpskoj</w:t>
      </w:r>
      <w:r w:rsidR="001561A7" w:rsidRPr="005D5311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mjerene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indeksom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potrošačkih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cijena</w:t>
      </w:r>
      <w:r w:rsidR="001561A7" w:rsidRPr="005D5311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junu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odnosu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na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maj</w:t>
      </w:r>
      <w:r w:rsidR="001561A7" w:rsidRPr="005D5311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niže</w:t>
      </w:r>
      <w:r w:rsidR="005E095F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su</w:t>
      </w:r>
      <w:r w:rsidR="005E095F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CA7E07" w:rsidRPr="005D5311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prosjeku</w:t>
      </w:r>
      <w:r w:rsidR="00CA7E07" w:rsidRPr="005D5311">
        <w:rPr>
          <w:rFonts w:ascii="Tahoma" w:hAnsi="Tahoma" w:cs="Tahoma"/>
          <w:szCs w:val="18"/>
          <w:lang w:val="sr-Cyrl-BA"/>
        </w:rPr>
        <w:t xml:space="preserve"> 0,</w:t>
      </w:r>
      <w:r w:rsidR="005F14A0" w:rsidRPr="005D5311">
        <w:rPr>
          <w:rFonts w:ascii="Tahoma" w:hAnsi="Tahoma" w:cs="Tahoma"/>
          <w:szCs w:val="18"/>
          <w:lang w:val="sr-Cyrl-BA"/>
        </w:rPr>
        <w:t>7</w:t>
      </w:r>
      <w:r w:rsidR="001561A7" w:rsidRPr="005D5311">
        <w:rPr>
          <w:rFonts w:ascii="Tahoma" w:hAnsi="Tahoma" w:cs="Tahoma"/>
          <w:szCs w:val="18"/>
          <w:lang w:val="sr-Cyrl-BA"/>
        </w:rPr>
        <w:t>%.</w:t>
      </w:r>
    </w:p>
    <w:p w:rsidR="001561A7" w:rsidRPr="005D5311" w:rsidRDefault="001561A7" w:rsidP="001561A7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</w:p>
    <w:p w:rsidR="005F14A0" w:rsidRPr="005D5311" w:rsidRDefault="00541DAF" w:rsidP="005F14A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indeks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5F14A0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5F14A0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5F14A0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5F14A0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1,6%,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1,7% 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šta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imalo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19,0%,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4B5631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5F14A0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mineralne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vode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1,2%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5F14A0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1,2%.</w:t>
      </w:r>
    </w:p>
    <w:p w:rsidR="005F14A0" w:rsidRPr="005D5311" w:rsidRDefault="00541DAF" w:rsidP="005F14A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5F14A0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gdje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F14A0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F14A0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1,1% 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smanjenje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Goriva</w:t>
      </w:r>
      <w:r w:rsidR="005F14A0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5F14A0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maziva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2,1%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smanjenja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5F14A0" w:rsidRPr="005D5311">
        <w:rPr>
          <w:rFonts w:ascii="Tahoma" w:hAnsi="Tahoma" w:cs="Tahoma"/>
          <w:sz w:val="18"/>
          <w:szCs w:val="18"/>
          <w:lang w:val="sr-Cyrl-BA"/>
        </w:rPr>
        <w:t>.</w:t>
      </w:r>
    </w:p>
    <w:p w:rsidR="0052236A" w:rsidRPr="005D5311" w:rsidRDefault="0052236A" w:rsidP="0052236A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2773E" w:rsidRPr="005D5311" w:rsidRDefault="00541DAF" w:rsidP="00F2773E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naveći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Stanovanje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0,5%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Snabdjevanje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vodom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druge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komunalne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3,9%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vode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kanalizacije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Doboju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.</w:t>
      </w:r>
    </w:p>
    <w:p w:rsidR="00E27853" w:rsidRPr="005D5311" w:rsidRDefault="00E27853" w:rsidP="001561A7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2773E" w:rsidRPr="005D5311" w:rsidRDefault="00541DAF" w:rsidP="00F2773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Indeks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viši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0,3% </w:t>
      </w:r>
      <w:r>
        <w:rPr>
          <w:rFonts w:ascii="Tahoma" w:eastAsia="Calibri" w:hAnsi="Tahoma" w:cs="Tahoma"/>
          <w:sz w:val="18"/>
          <w:szCs w:val="18"/>
          <w:lang w:val="sr-Cyrl-BA"/>
        </w:rPr>
        <w:t>što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putnih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aranžmana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5,7%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ljetne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sezone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F2773E" w:rsidRPr="005D5311" w:rsidRDefault="00F2773E" w:rsidP="00F2773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2773E" w:rsidRPr="005D5311" w:rsidRDefault="00541DAF" w:rsidP="00F2773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Indeks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Namještaj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pokućstvo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za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čišćenje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održavanje</w:t>
      </w:r>
      <w:r w:rsidR="00F2773E" w:rsidRPr="005D5311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domaćinstava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eastAsia="Calibri" w:hAnsi="Tahoma" w:cs="Tahoma"/>
          <w:sz w:val="18"/>
          <w:szCs w:val="18"/>
          <w:lang w:val="sr-Cyrl-BA"/>
        </w:rPr>
        <w:t xml:space="preserve"> 0,9%.</w:t>
      </w:r>
    </w:p>
    <w:p w:rsidR="00F2773E" w:rsidRPr="005D5311" w:rsidRDefault="00F2773E" w:rsidP="00F2773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2773E" w:rsidRPr="005D5311" w:rsidRDefault="00541DAF" w:rsidP="00F2773E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0,1%,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Akoholna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0,2%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Vina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1,4%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Viskija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0,3%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0,1%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poskupljenja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Uvoznih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cigareta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0,2%.</w:t>
      </w:r>
    </w:p>
    <w:p w:rsidR="001561A7" w:rsidRPr="005D5311" w:rsidRDefault="001561A7" w:rsidP="001561A7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1561A7" w:rsidRPr="005D5311" w:rsidRDefault="00541DAF" w:rsidP="001561A7">
      <w:pPr>
        <w:spacing w:after="200" w:line="276" w:lineRule="auto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 xml:space="preserve"> 4,</w:t>
      </w:r>
      <w:r w:rsidR="00F2773E" w:rsidRPr="005D5311">
        <w:rPr>
          <w:rFonts w:ascii="Tahoma" w:hAnsi="Tahoma" w:cs="Tahoma"/>
          <w:sz w:val="18"/>
          <w:szCs w:val="18"/>
          <w:lang w:val="sr-Cyrl-CS"/>
        </w:rPr>
        <w:t>0</w:t>
      </w:r>
      <w:r w:rsidR="001561A7" w:rsidRPr="005D5311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5D5311" w:rsidRDefault="00541DAF" w:rsidP="00566311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10,</w:t>
      </w:r>
      <w:r w:rsidR="00566311" w:rsidRPr="005D5311">
        <w:rPr>
          <w:rFonts w:ascii="Tahoma" w:hAnsi="Tahoma" w:cs="Tahoma"/>
          <w:sz w:val="18"/>
          <w:szCs w:val="18"/>
          <w:lang w:val="sr-Cyrl-BA"/>
        </w:rPr>
        <w:t>2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: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7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3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%, 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8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6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3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2,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7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>%,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0,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>8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>%,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 xml:space="preserve"> 0,8%,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D2F9C" w:rsidRPr="005D5311">
        <w:rPr>
          <w:rFonts w:ascii="Tahoma" w:hAnsi="Tahoma" w:cs="Tahoma"/>
          <w:sz w:val="18"/>
          <w:szCs w:val="18"/>
          <w:lang w:val="sr-Cyrl-BA"/>
        </w:rPr>
        <w:t>0,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6</w:t>
      </w:r>
      <w:r w:rsidR="007D2F9C" w:rsidRPr="005D5311">
        <w:rPr>
          <w:rFonts w:ascii="Tahoma" w:hAnsi="Tahoma" w:cs="Tahoma"/>
          <w:sz w:val="18"/>
          <w:szCs w:val="18"/>
          <w:lang w:val="sr-Cyrl-BA"/>
        </w:rPr>
        <w:t>%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i/>
          <w:sz w:val="18"/>
          <w:szCs w:val="18"/>
          <w:lang w:val="sr-Cyrl-BA"/>
        </w:rPr>
        <w:t>Indeksi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odjeljaka</w:t>
      </w:r>
      <w:r w:rsidR="00566311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0,4%,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566311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>1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>0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>%,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Indeks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odjeljka</w:t>
      </w:r>
      <w:r w:rsidR="00566311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5D5311">
        <w:rPr>
          <w:rFonts w:ascii="Tahoma" w:hAnsi="Tahoma" w:cs="Tahoma"/>
          <w:i/>
          <w:sz w:val="18"/>
          <w:szCs w:val="18"/>
          <w:lang w:val="sr-Cyrl-BA"/>
        </w:rPr>
        <w:t>1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>,</w:t>
      </w:r>
      <w:r w:rsidR="00F2773E" w:rsidRPr="005D5311">
        <w:rPr>
          <w:rFonts w:ascii="Tahoma" w:hAnsi="Tahoma" w:cs="Tahoma"/>
          <w:i/>
          <w:sz w:val="18"/>
          <w:szCs w:val="18"/>
          <w:lang w:val="sr-Cyrl-BA"/>
        </w:rPr>
        <w:t>5</w:t>
      </w:r>
      <w:r w:rsidR="00566311" w:rsidRPr="005D5311">
        <w:rPr>
          <w:rFonts w:ascii="Tahoma" w:hAnsi="Tahoma" w:cs="Tahoma"/>
          <w:i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5D531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 4,</w:t>
      </w:r>
      <w:r w:rsidR="00F2773E" w:rsidRPr="005D5311">
        <w:rPr>
          <w:rFonts w:ascii="Tahoma" w:hAnsi="Tahoma" w:cs="Tahoma"/>
          <w:sz w:val="18"/>
          <w:szCs w:val="18"/>
          <w:lang w:val="sr-Cyrl-BA"/>
        </w:rPr>
        <w:t>6</w:t>
      </w:r>
      <w:r w:rsidR="001561A7" w:rsidRPr="005D5311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52611C" w:rsidRDefault="004A08B4" w:rsidP="005E030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p w:rsidR="009B0BA8" w:rsidRPr="0052611C" w:rsidRDefault="009B0BA8" w:rsidP="005E0301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5E0301" w:rsidRPr="0052611C" w:rsidRDefault="00541DAF" w:rsidP="005E0301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Cijene</w:t>
      </w:r>
      <w:r w:rsidR="005E0301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52611C">
        <w:rPr>
          <w:rFonts w:ascii="Tahoma" w:hAnsi="Tahoma" w:cs="Tahoma"/>
          <w:b/>
          <w:sz w:val="28"/>
          <w:szCs w:val="28"/>
          <w:lang w:val="sr-Cyrl-CS"/>
        </w:rPr>
        <w:t>(</w:t>
      </w:r>
      <w:r w:rsidR="00690920" w:rsidRPr="0052611C">
        <w:rPr>
          <w:rFonts w:ascii="Tahoma" w:hAnsi="Tahoma" w:cs="Tahoma"/>
          <w:b/>
          <w:sz w:val="28"/>
          <w:szCs w:val="28"/>
        </w:rPr>
        <w:t>V</w:t>
      </w:r>
      <w:r w:rsidR="00704439" w:rsidRPr="0052611C">
        <w:rPr>
          <w:rFonts w:ascii="Tahoma" w:hAnsi="Tahoma" w:cs="Tahoma"/>
          <w:b/>
          <w:sz w:val="28"/>
          <w:szCs w:val="28"/>
        </w:rPr>
        <w:t>I</w:t>
      </w:r>
      <w:r w:rsidR="00835F0E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52611C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52611C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52611C">
        <w:rPr>
          <w:rFonts w:ascii="Tahoma" w:hAnsi="Tahoma" w:cs="Tahoma"/>
          <w:b/>
          <w:sz w:val="28"/>
          <w:szCs w:val="28"/>
          <w:lang w:val="sr-Cyrl-CS"/>
        </w:rPr>
        <w:t>/</w:t>
      </w:r>
      <w:r w:rsidR="001B32B9" w:rsidRPr="0052611C">
        <w:rPr>
          <w:rFonts w:ascii="Tahoma" w:hAnsi="Tahoma" w:cs="Tahoma"/>
          <w:b/>
          <w:sz w:val="28"/>
          <w:szCs w:val="28"/>
          <w:lang w:val="sr-Latn-CS"/>
        </w:rPr>
        <w:t>V</w:t>
      </w:r>
      <w:r w:rsidR="0009483B" w:rsidRPr="0052611C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52611C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52611C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52611C">
        <w:rPr>
          <w:rFonts w:ascii="Tahoma" w:hAnsi="Tahoma" w:cs="Tahoma"/>
          <w:b/>
          <w:sz w:val="28"/>
          <w:szCs w:val="28"/>
          <w:lang w:val="sr-Cyrl-CS"/>
        </w:rPr>
        <w:t>)</w:t>
      </w:r>
      <w:r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704439" w:rsidRPr="0052611C">
        <w:rPr>
          <w:rFonts w:ascii="Tahoma" w:hAnsi="Tahoma" w:cs="Tahoma"/>
          <w:b/>
          <w:sz w:val="28"/>
          <w:szCs w:val="28"/>
          <w:lang w:val="sr-Cyrl-CS"/>
        </w:rPr>
        <w:t xml:space="preserve"> 0,2</w:t>
      </w:r>
      <w:r w:rsidR="001B32B9" w:rsidRPr="0052611C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52611C" w:rsidRDefault="001B32B9" w:rsidP="005E0301">
      <w:pPr>
        <w:jc w:val="both"/>
        <w:rPr>
          <w:rFonts w:ascii="Tahoma" w:hAnsi="Tahoma" w:cs="Tahoma"/>
          <w:lang w:val="sr-Cyrl-CS"/>
        </w:rPr>
      </w:pPr>
    </w:p>
    <w:p w:rsidR="007348F9" w:rsidRPr="005D5311" w:rsidRDefault="00541DAF" w:rsidP="007348F9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7348F9" w:rsidRPr="005D5311">
        <w:rPr>
          <w:rFonts w:ascii="Tahoma" w:hAnsi="Tahoma" w:cs="Tahoma"/>
          <w:sz w:val="18"/>
          <w:szCs w:val="18"/>
        </w:rPr>
        <w:t>e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7348F9" w:rsidRPr="005D5311">
        <w:rPr>
          <w:rFonts w:ascii="Tahoma" w:hAnsi="Tahoma" w:cs="Tahoma"/>
          <w:sz w:val="18"/>
          <w:szCs w:val="18"/>
        </w:rPr>
        <w:t>a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>20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>11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7348F9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>201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7348F9" w:rsidRPr="005D5311">
        <w:rPr>
          <w:rFonts w:ascii="Tahoma" w:hAnsi="Tahoma" w:cs="Tahoma"/>
          <w:sz w:val="18"/>
          <w:szCs w:val="18"/>
          <w:lang w:val="hr-HR"/>
        </w:rPr>
        <w:t>.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0,2</w:t>
      </w:r>
      <w:r w:rsidR="00B12215" w:rsidRPr="005D5311">
        <w:rPr>
          <w:rFonts w:ascii="Tahoma" w:hAnsi="Tahoma" w:cs="Tahoma"/>
          <w:sz w:val="18"/>
          <w:szCs w:val="18"/>
          <w:lang w:val="sr-Cyrl-CS"/>
        </w:rPr>
        <w:t>%</w:t>
      </w:r>
      <w:r w:rsidR="007348F9" w:rsidRPr="005D5311">
        <w:rPr>
          <w:rFonts w:ascii="Tahoma" w:hAnsi="Tahoma" w:cs="Tahoma"/>
          <w:sz w:val="18"/>
          <w:szCs w:val="18"/>
          <w:lang w:val="sr-Latn-CS"/>
        </w:rPr>
        <w:t>, a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348F9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93C29" w:rsidRPr="005D5311">
        <w:rPr>
          <w:rFonts w:ascii="Tahoma" w:hAnsi="Tahoma" w:cs="Tahoma"/>
          <w:sz w:val="18"/>
          <w:szCs w:val="18"/>
          <w:lang w:val="sr-Cyrl-CS"/>
        </w:rPr>
        <w:t xml:space="preserve"> 5,1</w:t>
      </w:r>
      <w:r w:rsidR="007348F9" w:rsidRPr="005D5311">
        <w:rPr>
          <w:rFonts w:ascii="Tahoma" w:hAnsi="Tahoma" w:cs="Tahoma"/>
          <w:sz w:val="18"/>
          <w:szCs w:val="18"/>
          <w:lang w:val="sr-Cyrl-CS"/>
        </w:rPr>
        <w:t>%.</w:t>
      </w:r>
    </w:p>
    <w:p w:rsidR="00AC084B" w:rsidRPr="005D5311" w:rsidRDefault="00AC084B" w:rsidP="007348F9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C084B" w:rsidRPr="005D5311" w:rsidRDefault="00541DAF" w:rsidP="00AC084B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84B" w:rsidRPr="005D5311">
        <w:rPr>
          <w:rFonts w:ascii="Tahoma" w:hAnsi="Tahoma" w:cs="Tahoma"/>
          <w:sz w:val="18"/>
          <w:szCs w:val="18"/>
          <w:lang w:val="hr-HR"/>
        </w:rPr>
        <w:t>20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>11</w:t>
      </w:r>
      <w:r w:rsidR="00AC084B" w:rsidRPr="005D531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84B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C084B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AC084B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C084B" w:rsidRPr="005D5311">
        <w:rPr>
          <w:rFonts w:ascii="Tahoma" w:hAnsi="Tahoma" w:cs="Tahoma"/>
          <w:sz w:val="18"/>
          <w:szCs w:val="18"/>
          <w:lang w:val="hr-HR"/>
        </w:rPr>
        <w:t>201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84B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C084B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>3</w:t>
      </w:r>
      <w:r w:rsidR="00AC084B" w:rsidRPr="005D5311">
        <w:rPr>
          <w:rFonts w:ascii="Tahoma" w:hAnsi="Tahoma" w:cs="Tahoma"/>
          <w:sz w:val="18"/>
          <w:szCs w:val="18"/>
          <w:lang w:val="sr-Latn-CS"/>
        </w:rPr>
        <w:t>%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84B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84B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0,2%,</w:t>
      </w:r>
      <w:r w:rsidR="00AC084B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5D5311" w:rsidRDefault="00AC084B" w:rsidP="00AC084B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5D5311" w:rsidRDefault="00541DAF" w:rsidP="005E0301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0A5A0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5D5311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AA2389" w:rsidRPr="005D5311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11,8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A5A0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0A5A0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A238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5,6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 xml:space="preserve"> 5,1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>%,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84B" w:rsidRPr="005D5311">
        <w:rPr>
          <w:rFonts w:ascii="Tahoma" w:hAnsi="Tahoma" w:cs="Tahoma"/>
          <w:sz w:val="18"/>
          <w:szCs w:val="18"/>
          <w:lang w:val="sr-Cyrl-CS"/>
        </w:rPr>
        <w:t>4,0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1065E" w:rsidRPr="005D5311">
        <w:rPr>
          <w:rFonts w:ascii="Tahoma" w:hAnsi="Tahoma" w:cs="Tahoma"/>
          <w:sz w:val="18"/>
          <w:szCs w:val="18"/>
          <w:lang w:val="sr-Cyrl-CS"/>
        </w:rPr>
        <w:t xml:space="preserve"> 0,4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5D5311" w:rsidRDefault="005E0301" w:rsidP="005E0301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CD26F2" w:rsidRPr="005D5311" w:rsidRDefault="00541DAF" w:rsidP="00CD26F2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(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PRODCOM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>)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D26F2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)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CD26F2" w:rsidRPr="005D5311">
        <w:rPr>
          <w:rFonts w:ascii="Tahoma" w:hAnsi="Tahoma" w:cs="Tahoma"/>
          <w:sz w:val="18"/>
          <w:szCs w:val="18"/>
          <w:lang w:val="ru-RU"/>
        </w:rPr>
        <w:t>,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>20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11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CD26F2" w:rsidRPr="005D5311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>201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CD26F2" w:rsidRPr="005D5311">
        <w:rPr>
          <w:rFonts w:ascii="Tahoma" w:hAnsi="Tahoma" w:cs="Tahoma"/>
          <w:sz w:val="18"/>
          <w:szCs w:val="18"/>
          <w:lang w:val="hr-HR"/>
        </w:rPr>
        <w:t>.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0,7%,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D26F2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snabdjevanje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CD26F2" w:rsidRPr="005D5311">
        <w:rPr>
          <w:rFonts w:ascii="Tahoma" w:hAnsi="Tahoma" w:cs="Tahoma"/>
          <w:sz w:val="18"/>
          <w:szCs w:val="18"/>
          <w:lang w:val="sr-Latn-BA"/>
        </w:rPr>
        <w:t>.</w:t>
      </w:r>
    </w:p>
    <w:p w:rsidR="00C0614D" w:rsidRPr="005D5311" w:rsidRDefault="00C0614D" w:rsidP="00C0614D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5D5311" w:rsidRDefault="00541DAF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>20</w:t>
      </w:r>
      <w:r w:rsidR="00A507FC" w:rsidRPr="005D5311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>20</w:t>
      </w:r>
      <w:r w:rsidR="00A507FC" w:rsidRPr="005D5311">
        <w:rPr>
          <w:rFonts w:ascii="Tahoma" w:hAnsi="Tahoma" w:cs="Tahoma"/>
          <w:sz w:val="18"/>
          <w:szCs w:val="18"/>
          <w:lang w:val="sr-Cyrl-CS"/>
        </w:rPr>
        <w:t>10</w:t>
      </w:r>
      <w:r w:rsidR="005E0301" w:rsidRPr="005D5311">
        <w:rPr>
          <w:rFonts w:ascii="Tahoma" w:hAnsi="Tahoma" w:cs="Tahoma"/>
          <w:sz w:val="18"/>
          <w:szCs w:val="18"/>
          <w:lang w:val="hr-HR"/>
        </w:rPr>
        <w:t>.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5D5311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5460E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5460E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5460E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45C9" w:rsidRPr="005D531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D26F2" w:rsidRPr="005D5311">
        <w:rPr>
          <w:rFonts w:ascii="Tahoma" w:hAnsi="Tahoma" w:cs="Tahoma"/>
          <w:sz w:val="18"/>
          <w:szCs w:val="18"/>
          <w:lang w:val="sr-Cyrl-CS"/>
        </w:rPr>
        <w:t xml:space="preserve"> 12,4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5323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B5460E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CD26F2" w:rsidRPr="005D531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CD26F2" w:rsidRPr="005D5311">
        <w:rPr>
          <w:rFonts w:ascii="Tahoma" w:hAnsi="Tahoma" w:cs="Tahoma"/>
          <w:bCs/>
          <w:sz w:val="18"/>
          <w:szCs w:val="18"/>
          <w:lang w:val="sr-Cyrl-CS"/>
        </w:rPr>
        <w:t xml:space="preserve"> 6,3</w:t>
      </w:r>
      <w:r w:rsidR="00305B23" w:rsidRPr="005D5311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05B23" w:rsidRPr="005D531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05B23" w:rsidRPr="005D531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05B23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5E0301" w:rsidRPr="005D5311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5D531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F445C9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45C9" w:rsidRPr="005D5311">
        <w:rPr>
          <w:rFonts w:ascii="Tahoma" w:hAnsi="Tahoma" w:cs="Tahoma"/>
          <w:sz w:val="18"/>
          <w:szCs w:val="18"/>
          <w:lang w:val="sr-Cyrl-CS"/>
        </w:rPr>
        <w:t xml:space="preserve"> 0,6</w:t>
      </w:r>
      <w:r w:rsidR="005E0301" w:rsidRPr="005D5311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5D5311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52611C" w:rsidRDefault="002874ED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B0BA8" w:rsidRPr="0052611C" w:rsidRDefault="009B0BA8" w:rsidP="005E0301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52611C" w:rsidRDefault="00541DAF" w:rsidP="005E0301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E578C7" w:rsidRPr="0052611C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5D2E6F" w:rsidRPr="0052611C">
        <w:rPr>
          <w:rFonts w:ascii="Tahoma" w:hAnsi="Tahoma" w:cs="Tahoma"/>
          <w:b/>
          <w:spacing w:val="-4"/>
          <w:sz w:val="28"/>
          <w:szCs w:val="28"/>
        </w:rPr>
        <w:t>V</w:t>
      </w:r>
      <w:r w:rsidR="00256280" w:rsidRPr="0052611C">
        <w:rPr>
          <w:rFonts w:ascii="Tahoma" w:hAnsi="Tahoma" w:cs="Tahoma"/>
          <w:b/>
          <w:spacing w:val="-4"/>
          <w:sz w:val="28"/>
          <w:szCs w:val="28"/>
        </w:rPr>
        <w:t>I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52611C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52611C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52611C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256280" w:rsidRPr="0052611C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5E0301" w:rsidRPr="0052611C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AC5FA4" w:rsidRPr="0052611C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4</w:t>
      </w:r>
      <w:r w:rsidR="005E0301" w:rsidRPr="0052611C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52611C" w:rsidRDefault="00541DAF" w:rsidP="005E0301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5E0301" w:rsidRPr="0052611C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A41DC8" w:rsidRPr="0052611C">
        <w:rPr>
          <w:rFonts w:ascii="Tahoma" w:hAnsi="Tahoma" w:cs="Tahoma"/>
          <w:sz w:val="24"/>
          <w:szCs w:val="24"/>
        </w:rPr>
        <w:t>V</w:t>
      </w:r>
      <w:r w:rsidR="008153C4" w:rsidRPr="0052611C">
        <w:rPr>
          <w:rFonts w:ascii="Tahoma" w:hAnsi="Tahoma" w:cs="Tahoma"/>
          <w:sz w:val="24"/>
          <w:szCs w:val="24"/>
        </w:rPr>
        <w:t>I</w:t>
      </w:r>
      <w:r w:rsidR="005E0301" w:rsidRPr="0052611C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5E0301" w:rsidRPr="0052611C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52611C">
        <w:rPr>
          <w:rFonts w:ascii="Tahoma" w:hAnsi="Tahoma" w:cs="Tahoma"/>
          <w:sz w:val="24"/>
          <w:szCs w:val="24"/>
          <w:lang w:val="sr-Cyrl-CS"/>
        </w:rPr>
        <w:t>1</w:t>
      </w:r>
      <w:r w:rsidR="005E0301" w:rsidRPr="0052611C">
        <w:rPr>
          <w:rFonts w:ascii="Tahoma" w:hAnsi="Tahoma" w:cs="Tahoma"/>
          <w:sz w:val="24"/>
          <w:szCs w:val="24"/>
          <w:lang w:val="sr-Latn-BA"/>
        </w:rPr>
        <w:t>/</w:t>
      </w:r>
      <w:r w:rsidR="005E0301" w:rsidRPr="0052611C">
        <w:rPr>
          <w:rFonts w:ascii="Tahoma" w:hAnsi="Tahoma" w:cs="Tahoma"/>
          <w:bCs/>
          <w:sz w:val="24"/>
          <w:szCs w:val="24"/>
        </w:rPr>
        <w:sym w:font="Symbol" w:char="F0C6"/>
      </w:r>
      <w:r w:rsidR="005E0301" w:rsidRPr="0052611C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5E0301" w:rsidRPr="0052611C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52611C">
        <w:rPr>
          <w:rFonts w:ascii="Tahoma" w:hAnsi="Tahoma" w:cs="Tahoma"/>
          <w:bCs/>
          <w:sz w:val="24"/>
          <w:szCs w:val="24"/>
          <w:lang w:val="ru-RU"/>
        </w:rPr>
        <w:t>1</w:t>
      </w:r>
      <w:r w:rsidR="005E0301" w:rsidRPr="0052611C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52611C">
        <w:rPr>
          <w:rFonts w:ascii="Tahoma" w:hAnsi="Tahoma" w:cs="Tahoma"/>
          <w:bCs/>
          <w:sz w:val="24"/>
          <w:szCs w:val="24"/>
          <w:lang w:val="ru-RU"/>
        </w:rPr>
        <w:t>.</w:t>
      </w:r>
      <w:r w:rsidR="005E0301" w:rsidRPr="0052611C">
        <w:rPr>
          <w:rFonts w:ascii="Tahoma" w:hAnsi="Tahoma" w:cs="Tahoma"/>
          <w:bCs/>
          <w:sz w:val="24"/>
          <w:szCs w:val="24"/>
          <w:lang w:val="hr-HR"/>
        </w:rPr>
        <w:t>)</w:t>
      </w:r>
      <w:r w:rsidR="005E0301" w:rsidRPr="0052611C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 w:rsidR="0066355A" w:rsidRPr="0052611C">
        <w:rPr>
          <w:rFonts w:ascii="Tahoma" w:hAnsi="Tahoma" w:cs="Tahoma"/>
          <w:sz w:val="24"/>
          <w:szCs w:val="24"/>
          <w:lang w:val="sr-Cyrl-CS"/>
        </w:rPr>
        <w:t>2</w:t>
      </w:r>
      <w:r w:rsidR="005E0301" w:rsidRPr="0052611C">
        <w:rPr>
          <w:rFonts w:ascii="Tahoma" w:hAnsi="Tahoma" w:cs="Tahoma"/>
          <w:sz w:val="24"/>
          <w:szCs w:val="24"/>
          <w:lang w:val="sr-Cyrl-BA"/>
        </w:rPr>
        <w:t>,</w:t>
      </w:r>
      <w:r w:rsidR="008153C4" w:rsidRPr="0052611C">
        <w:rPr>
          <w:rFonts w:ascii="Tahoma" w:hAnsi="Tahoma" w:cs="Tahoma"/>
          <w:sz w:val="24"/>
          <w:szCs w:val="24"/>
          <w:lang w:val="sr-Cyrl-CS"/>
        </w:rPr>
        <w:t>5</w:t>
      </w:r>
      <w:r w:rsidR="005E0301" w:rsidRPr="0052611C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52611C" w:rsidRDefault="005E0301" w:rsidP="005E0301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5D5311" w:rsidRDefault="00541DAF" w:rsidP="005E0301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Indeks</w:t>
      </w:r>
      <w:r w:rsidR="005E0301" w:rsidRPr="005D5311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industrijske</w:t>
      </w:r>
      <w:r w:rsidR="005E0301" w:rsidRPr="005D5311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proizvodnje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5D5311">
        <w:rPr>
          <w:rFonts w:ascii="Tahoma" w:hAnsi="Tahoma" w:cs="Tahoma"/>
          <w:sz w:val="18"/>
          <w:szCs w:val="18"/>
          <w:lang w:val="ru-RU"/>
        </w:rPr>
        <w:t>1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10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4</w:t>
      </w:r>
      <w:r w:rsidR="005E0301" w:rsidRPr="005D5311">
        <w:rPr>
          <w:rFonts w:ascii="Tahoma" w:hAnsi="Tahoma" w:cs="Tahoma"/>
          <w:sz w:val="18"/>
          <w:szCs w:val="18"/>
          <w:lang w:val="ru-RU"/>
        </w:rPr>
        <w:t>%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7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9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>%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6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8</w:t>
      </w:r>
      <w:r w:rsidR="00621277" w:rsidRPr="005D5311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5D5311" w:rsidRDefault="00C42F94" w:rsidP="005E030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5D5311" w:rsidRDefault="00541DAF" w:rsidP="00C42F9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Indeks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C5FA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>3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>6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2F94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2F94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2F94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2F94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sr-Cyrl-CS"/>
        </w:rPr>
        <w:t>23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256280" w:rsidRPr="005D5311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2F94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AC5FA4" w:rsidRPr="005D5311">
        <w:rPr>
          <w:rFonts w:ascii="Tahoma" w:hAnsi="Tahoma" w:cs="Tahoma"/>
          <w:sz w:val="18"/>
          <w:szCs w:val="18"/>
          <w:lang w:val="ru-RU"/>
        </w:rPr>
        <w:t>5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7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2F94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2F94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2F94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2F94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evidentirana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negativna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-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>5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8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5D5311" w:rsidRDefault="006869EB" w:rsidP="00C42F9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5D5311" w:rsidRDefault="00541DAF" w:rsidP="00C42F94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sr-Cyrl-CS"/>
        </w:rPr>
        <w:t>36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256280" w:rsidRPr="005D5311">
        <w:rPr>
          <w:rFonts w:ascii="Tahoma" w:hAnsi="Tahoma" w:cs="Tahoma"/>
          <w:sz w:val="18"/>
          <w:szCs w:val="18"/>
          <w:lang w:val="sr-Cyrl-CS"/>
        </w:rPr>
        <w:t>3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5D2E6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5D2E6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9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0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AC5FA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>1</w:t>
      </w:r>
      <w:r w:rsidR="008E6F6E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>9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>%</w:t>
      </w:r>
      <w:r w:rsidR="005D2E6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2F94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E6F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AC5FA4" w:rsidRPr="005D5311">
        <w:rPr>
          <w:rFonts w:ascii="Tahoma" w:hAnsi="Tahoma" w:cs="Tahoma"/>
          <w:sz w:val="18"/>
          <w:szCs w:val="18"/>
          <w:lang w:val="ru-RU"/>
        </w:rPr>
        <w:t>0</w:t>
      </w:r>
      <w:r w:rsidR="00C42F94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256280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%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evidentirana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25628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D2E6F" w:rsidRPr="005D5311">
        <w:rPr>
          <w:rFonts w:ascii="Tahoma" w:hAnsi="Tahoma" w:cs="Tahoma"/>
          <w:sz w:val="18"/>
          <w:szCs w:val="18"/>
          <w:lang w:val="ru-RU"/>
        </w:rPr>
        <w:t xml:space="preserve"> -0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,</w:t>
      </w:r>
      <w:r w:rsidR="00256280" w:rsidRPr="005D5311">
        <w:rPr>
          <w:rFonts w:ascii="Tahoma" w:hAnsi="Tahoma" w:cs="Tahoma"/>
          <w:sz w:val="18"/>
          <w:szCs w:val="18"/>
          <w:lang w:val="ru-RU"/>
        </w:rPr>
        <w:t>3</w:t>
      </w:r>
      <w:r w:rsidR="00C42F94" w:rsidRPr="005D5311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5D5311" w:rsidRDefault="00F30813" w:rsidP="005E030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5D5311" w:rsidRDefault="00541DAF" w:rsidP="005029D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5029D8" w:rsidRPr="005D5311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5029D8" w:rsidRPr="005D5311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5029D8" w:rsidRPr="005D5311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66355A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355A" w:rsidRPr="005D5311">
        <w:rPr>
          <w:rFonts w:ascii="Tahoma" w:hAnsi="Tahoma" w:cs="Tahoma"/>
          <w:sz w:val="18"/>
          <w:szCs w:val="18"/>
          <w:lang w:val="ru-RU"/>
        </w:rPr>
        <w:t xml:space="preserve"> 0,</w:t>
      </w:r>
      <w:r w:rsidR="008153C4" w:rsidRPr="005D5311">
        <w:rPr>
          <w:rFonts w:ascii="Tahoma" w:hAnsi="Tahoma" w:cs="Tahoma"/>
          <w:sz w:val="18"/>
          <w:szCs w:val="18"/>
          <w:lang w:val="ru-RU"/>
        </w:rPr>
        <w:t>4</w:t>
      </w:r>
      <w:r w:rsidR="0066355A" w:rsidRPr="005D5311">
        <w:rPr>
          <w:rFonts w:ascii="Tahoma" w:hAnsi="Tahoma" w:cs="Tahoma"/>
          <w:sz w:val="18"/>
          <w:szCs w:val="18"/>
          <w:lang w:val="ru-RU"/>
        </w:rPr>
        <w:t>%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5D5311" w:rsidRDefault="005029D8" w:rsidP="005029D8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5D5311" w:rsidRDefault="00541DAF" w:rsidP="005029D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6355A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8153C4" w:rsidRPr="005D5311">
        <w:rPr>
          <w:rFonts w:ascii="Tahoma" w:hAnsi="Tahoma" w:cs="Tahoma"/>
          <w:sz w:val="18"/>
          <w:szCs w:val="18"/>
          <w:lang w:val="sr-Cyrl-CS"/>
        </w:rPr>
        <w:t>3</w:t>
      </w:r>
      <w:r w:rsidR="005029D8" w:rsidRPr="005D5311">
        <w:rPr>
          <w:rFonts w:ascii="Tahoma" w:hAnsi="Tahoma" w:cs="Tahoma"/>
          <w:sz w:val="18"/>
          <w:szCs w:val="18"/>
          <w:lang w:val="sr-Cyrl-CS"/>
        </w:rPr>
        <w:t>%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31EFB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31EFB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31EFB" w:rsidRPr="005D531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249E3" w:rsidRPr="005D5311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8153C4" w:rsidRPr="005D5311">
        <w:rPr>
          <w:rFonts w:ascii="Tahoma" w:hAnsi="Tahoma" w:cs="Tahoma"/>
          <w:sz w:val="18"/>
          <w:szCs w:val="18"/>
          <w:lang w:val="sr-Cyrl-CS"/>
        </w:rPr>
        <w:t>6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5A2DAC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5029D8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5029D8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5029D8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5029D8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5029D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49E3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>,</w:t>
      </w:r>
      <w:r w:rsidR="008153C4" w:rsidRPr="005D5311">
        <w:rPr>
          <w:rFonts w:ascii="Tahoma" w:hAnsi="Tahoma" w:cs="Tahoma"/>
          <w:sz w:val="18"/>
          <w:szCs w:val="18"/>
          <w:lang w:val="ru-RU"/>
        </w:rPr>
        <w:t>4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431EFB" w:rsidRPr="005D5311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431EFB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66355A" w:rsidRPr="005D5311">
        <w:rPr>
          <w:rFonts w:ascii="Tahoma" w:hAnsi="Tahoma" w:cs="Tahoma"/>
          <w:sz w:val="18"/>
          <w:szCs w:val="18"/>
          <w:lang w:val="ru-RU"/>
        </w:rPr>
        <w:t>2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>,</w:t>
      </w:r>
      <w:r w:rsidR="008153C4" w:rsidRPr="005D5311">
        <w:rPr>
          <w:rFonts w:ascii="Tahoma" w:hAnsi="Tahoma" w:cs="Tahoma"/>
          <w:sz w:val="18"/>
          <w:szCs w:val="18"/>
          <w:lang w:val="ru-RU"/>
        </w:rPr>
        <w:t>3</w:t>
      </w:r>
      <w:r w:rsidR="00431EFB" w:rsidRPr="005D5311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52611C" w:rsidRDefault="0017306E" w:rsidP="005E0301">
      <w:pPr>
        <w:rPr>
          <w:rFonts w:ascii="Tahoma" w:hAnsi="Tahoma" w:cs="Tahoma"/>
          <w:sz w:val="16"/>
          <w:szCs w:val="16"/>
          <w:lang w:val="ru-RU"/>
        </w:rPr>
      </w:pPr>
    </w:p>
    <w:p w:rsidR="0017306E" w:rsidRPr="0052611C" w:rsidRDefault="0017306E" w:rsidP="005E0301">
      <w:pPr>
        <w:rPr>
          <w:rFonts w:ascii="Tahoma" w:hAnsi="Tahoma" w:cs="Tahoma"/>
          <w:sz w:val="16"/>
          <w:szCs w:val="16"/>
          <w:lang w:val="ru-RU"/>
        </w:rPr>
      </w:pPr>
    </w:p>
    <w:p w:rsidR="00AD4418" w:rsidRPr="0052611C" w:rsidRDefault="00AD4418" w:rsidP="005E0301">
      <w:pPr>
        <w:rPr>
          <w:rFonts w:ascii="Tahoma" w:hAnsi="Tahoma" w:cs="Tahoma"/>
          <w:sz w:val="16"/>
          <w:szCs w:val="16"/>
          <w:lang w:val="ru-RU"/>
        </w:rPr>
      </w:pPr>
    </w:p>
    <w:p w:rsidR="0017306E" w:rsidRPr="0052611C" w:rsidRDefault="00541DAF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17306E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17306E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B61FD5" w:rsidRPr="0052611C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B61FD5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periodu</w:t>
      </w:r>
      <w:r w:rsidR="00B61FD5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B61FD5" w:rsidRPr="0052611C">
        <w:rPr>
          <w:rFonts w:ascii="Tahoma" w:hAnsi="Tahoma" w:cs="Tahoma"/>
          <w:b/>
          <w:sz w:val="28"/>
          <w:szCs w:val="28"/>
        </w:rPr>
        <w:t>I</w:t>
      </w:r>
      <w:r w:rsidR="00B61FD5" w:rsidRPr="0052611C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781CEE" w:rsidRPr="0052611C">
        <w:rPr>
          <w:rFonts w:ascii="Tahoma" w:hAnsi="Tahoma" w:cs="Tahoma"/>
          <w:b/>
          <w:sz w:val="28"/>
          <w:szCs w:val="28"/>
        </w:rPr>
        <w:t>V</w:t>
      </w:r>
      <w:r w:rsidR="00E9755F" w:rsidRPr="0052611C">
        <w:rPr>
          <w:rFonts w:ascii="Tahoma" w:hAnsi="Tahoma" w:cs="Tahoma"/>
          <w:b/>
          <w:sz w:val="28"/>
          <w:szCs w:val="28"/>
        </w:rPr>
        <w:t>I</w:t>
      </w:r>
      <w:r w:rsidR="00B61FD5" w:rsidRPr="0052611C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B61FD5" w:rsidRPr="0052611C">
        <w:rPr>
          <w:rFonts w:ascii="Tahoma" w:hAnsi="Tahoma" w:cs="Tahoma"/>
          <w:b/>
          <w:sz w:val="28"/>
          <w:szCs w:val="28"/>
          <w:lang w:val="sr-Cyrl-BA"/>
        </w:rPr>
        <w:t>)</w:t>
      </w:r>
      <w:r w:rsidR="00B61FD5" w:rsidRPr="0052611C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52611C">
        <w:rPr>
          <w:rFonts w:ascii="Tahoma" w:hAnsi="Tahoma" w:cs="Tahoma"/>
          <w:b/>
          <w:sz w:val="28"/>
          <w:szCs w:val="28"/>
          <w:lang w:val="hr-HR"/>
        </w:rPr>
        <w:t>57</w:t>
      </w:r>
      <w:r w:rsidR="005E1630" w:rsidRPr="0052611C">
        <w:rPr>
          <w:rFonts w:ascii="Tahoma" w:hAnsi="Tahoma" w:cs="Tahoma"/>
          <w:b/>
          <w:sz w:val="28"/>
          <w:szCs w:val="28"/>
          <w:lang w:val="ru-RU"/>
        </w:rPr>
        <w:t>,</w:t>
      </w:r>
      <w:r w:rsidR="00E9755F" w:rsidRPr="0052611C">
        <w:rPr>
          <w:rFonts w:ascii="Tahoma" w:hAnsi="Tahoma" w:cs="Tahoma"/>
          <w:b/>
          <w:sz w:val="28"/>
          <w:szCs w:val="28"/>
        </w:rPr>
        <w:t>8</w:t>
      </w:r>
      <w:r w:rsidR="005E1630" w:rsidRPr="0052611C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52611C" w:rsidRDefault="00541DAF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17306E" w:rsidRPr="0052611C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17306E" w:rsidRPr="0052611C">
        <w:rPr>
          <w:rFonts w:ascii="Tahoma" w:hAnsi="Tahoma" w:cs="Tahoma"/>
          <w:sz w:val="24"/>
          <w:szCs w:val="24"/>
          <w:lang w:val="hr-HR"/>
        </w:rPr>
        <w:t>(I</w:t>
      </w:r>
      <w:r w:rsidR="004A3DCE" w:rsidRPr="0052611C">
        <w:rPr>
          <w:rFonts w:ascii="Tahoma" w:hAnsi="Tahoma" w:cs="Tahoma"/>
          <w:sz w:val="24"/>
          <w:szCs w:val="24"/>
          <w:lang w:val="hr-HR"/>
        </w:rPr>
        <w:t>-</w:t>
      </w:r>
      <w:r w:rsidR="00781CEE" w:rsidRPr="0052611C">
        <w:rPr>
          <w:rFonts w:ascii="Tahoma" w:hAnsi="Tahoma" w:cs="Tahoma"/>
          <w:sz w:val="24"/>
          <w:szCs w:val="24"/>
          <w:lang w:val="hr-HR"/>
        </w:rPr>
        <w:t>V</w:t>
      </w:r>
      <w:r w:rsidR="00E9755F" w:rsidRPr="0052611C">
        <w:rPr>
          <w:rFonts w:ascii="Tahoma" w:hAnsi="Tahoma" w:cs="Tahoma"/>
          <w:sz w:val="24"/>
          <w:szCs w:val="24"/>
          <w:lang w:val="hr-HR"/>
        </w:rPr>
        <w:t>I</w:t>
      </w:r>
      <w:r w:rsidR="0017306E" w:rsidRPr="0052611C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52611C">
        <w:rPr>
          <w:rFonts w:ascii="Tahoma" w:hAnsi="Tahoma" w:cs="Tahoma"/>
          <w:sz w:val="24"/>
          <w:szCs w:val="24"/>
          <w:lang w:val="hr-HR"/>
        </w:rPr>
        <w:t>-</w:t>
      </w:r>
      <w:r w:rsidR="00781CEE" w:rsidRPr="0052611C">
        <w:rPr>
          <w:rFonts w:ascii="Tahoma" w:hAnsi="Tahoma" w:cs="Tahoma"/>
          <w:sz w:val="24"/>
          <w:szCs w:val="24"/>
          <w:lang w:val="hr-HR"/>
        </w:rPr>
        <w:t>V</w:t>
      </w:r>
      <w:r w:rsidR="00E9755F" w:rsidRPr="0052611C">
        <w:rPr>
          <w:rFonts w:ascii="Tahoma" w:hAnsi="Tahoma" w:cs="Tahoma"/>
          <w:sz w:val="24"/>
          <w:szCs w:val="24"/>
          <w:lang w:val="hr-HR"/>
        </w:rPr>
        <w:t>I</w:t>
      </w:r>
      <w:r w:rsidR="0017306E" w:rsidRPr="0052611C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52611C">
        <w:rPr>
          <w:rFonts w:ascii="Tahoma" w:hAnsi="Tahoma" w:cs="Tahoma"/>
          <w:sz w:val="24"/>
          <w:szCs w:val="24"/>
          <w:lang w:val="sr-Cyrl-CS"/>
        </w:rPr>
        <w:t>.</w:t>
      </w:r>
      <w:r w:rsidR="0017306E" w:rsidRPr="0052611C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17306E" w:rsidRPr="0052611C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B040ED" w:rsidRPr="0052611C">
        <w:rPr>
          <w:rFonts w:ascii="Tahoma" w:hAnsi="Tahoma" w:cs="Tahoma"/>
          <w:sz w:val="24"/>
          <w:szCs w:val="24"/>
        </w:rPr>
        <w:t>1</w:t>
      </w:r>
      <w:r w:rsidR="004A3DCE" w:rsidRPr="0052611C">
        <w:rPr>
          <w:rFonts w:ascii="Tahoma" w:hAnsi="Tahoma" w:cs="Tahoma"/>
          <w:sz w:val="24"/>
          <w:szCs w:val="24"/>
        </w:rPr>
        <w:t>6</w:t>
      </w:r>
      <w:r w:rsidR="0017306E" w:rsidRPr="0052611C">
        <w:rPr>
          <w:rFonts w:ascii="Tahoma" w:hAnsi="Tahoma" w:cs="Tahoma"/>
          <w:sz w:val="24"/>
          <w:szCs w:val="24"/>
          <w:lang w:val="ru-RU"/>
        </w:rPr>
        <w:t>,</w:t>
      </w:r>
      <w:r w:rsidR="00E9755F" w:rsidRPr="0052611C">
        <w:rPr>
          <w:rFonts w:ascii="Tahoma" w:hAnsi="Tahoma" w:cs="Tahoma"/>
          <w:sz w:val="24"/>
          <w:szCs w:val="24"/>
        </w:rPr>
        <w:t>0</w:t>
      </w:r>
      <w:r w:rsidR="0017306E" w:rsidRPr="0052611C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52611C" w:rsidRDefault="0017306E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5D5311" w:rsidRDefault="00541DAF" w:rsidP="006A5F9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11CC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11CC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11CC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17306E" w:rsidRPr="005D5311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11CC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11CC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48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9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4A3DC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29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4A3DCE" w:rsidRPr="005D5311">
        <w:rPr>
          <w:rFonts w:ascii="Tahoma" w:hAnsi="Tahoma" w:cs="Tahoma"/>
          <w:sz w:val="18"/>
          <w:szCs w:val="18"/>
          <w:lang w:val="sr-Cyrl-BA"/>
        </w:rPr>
        <w:t>4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68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6A5F98" w:rsidRPr="005D5311">
        <w:rPr>
          <w:rFonts w:ascii="Tahoma" w:hAnsi="Tahoma" w:cs="Tahoma"/>
          <w:sz w:val="18"/>
          <w:szCs w:val="18"/>
          <w:lang w:val="sr-Cyrl-BA"/>
        </w:rPr>
        <w:t>.</w:t>
      </w:r>
    </w:p>
    <w:p w:rsidR="0017306E" w:rsidRPr="005D5311" w:rsidRDefault="0017306E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5D5311" w:rsidRDefault="00541DAF" w:rsidP="0017306E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B61FD5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B61FD5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5D5311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B040ED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4A3DC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380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230</w:t>
      </w:r>
      <w:r w:rsidR="00B040ED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040ED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4A3DCE" w:rsidRPr="005D5311">
        <w:rPr>
          <w:rFonts w:ascii="Tahoma" w:hAnsi="Tahoma" w:cs="Tahoma"/>
          <w:sz w:val="18"/>
          <w:szCs w:val="18"/>
          <w:lang w:val="sr-Cyrl-CS"/>
        </w:rPr>
        <w:t>6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0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 xml:space="preserve">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4A3DC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 xml:space="preserve">128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5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B61FD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5D5311" w:rsidRDefault="0017306E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5D5311" w:rsidRDefault="00541DAF" w:rsidP="005A5086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0F42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bs-Cyrl-BA"/>
        </w:rPr>
        <w:t>šes</w:t>
      </w:r>
      <w:r>
        <w:rPr>
          <w:rFonts w:ascii="Tahoma" w:hAnsi="Tahoma" w:cs="Tahoma"/>
          <w:sz w:val="18"/>
          <w:szCs w:val="18"/>
          <w:lang w:val="ru-RU"/>
        </w:rPr>
        <w:t>t</w:t>
      </w:r>
      <w:r w:rsidR="004A3DC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ru-RU"/>
        </w:rPr>
        <w:t>57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>,</w:t>
      </w:r>
      <w:r w:rsidR="00E9755F" w:rsidRPr="005D5311">
        <w:rPr>
          <w:rFonts w:ascii="Tahoma" w:hAnsi="Tahoma" w:cs="Tahoma"/>
          <w:sz w:val="18"/>
          <w:szCs w:val="18"/>
          <w:lang w:val="ru-RU"/>
        </w:rPr>
        <w:t>8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ru-RU"/>
        </w:rPr>
        <w:t>898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5D5311" w:rsidRDefault="00E053E5" w:rsidP="005A5086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5D5311" w:rsidRDefault="00541DAF" w:rsidP="0017306E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17306E" w:rsidRPr="005D5311">
        <w:rPr>
          <w:rFonts w:ascii="Tahoma" w:hAnsi="Tahoma" w:cs="Tahoma"/>
          <w:szCs w:val="18"/>
        </w:rPr>
        <w:t>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17306E" w:rsidRPr="005D5311">
        <w:rPr>
          <w:rFonts w:ascii="Tahoma" w:hAnsi="Tahoma" w:cs="Tahoma"/>
          <w:szCs w:val="18"/>
        </w:rPr>
        <w:t>e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17306E" w:rsidRPr="005D5311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17306E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B61FD5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B61FD5" w:rsidRPr="005D5311">
        <w:rPr>
          <w:rFonts w:ascii="Tahoma" w:hAnsi="Tahoma" w:cs="Tahoma"/>
          <w:szCs w:val="18"/>
          <w:lang w:val="ru-RU"/>
        </w:rPr>
        <w:t xml:space="preserve"> -</w:t>
      </w:r>
      <w:r w:rsidR="008D6AC0" w:rsidRPr="005D531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jun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2011. </w:t>
      </w:r>
      <w:r>
        <w:rPr>
          <w:rFonts w:ascii="Tahoma" w:hAnsi="Tahoma" w:cs="Tahoma"/>
          <w:szCs w:val="18"/>
          <w:lang w:val="sr-Cyrl-CS"/>
        </w:rPr>
        <w:t>godine</w:t>
      </w:r>
      <w:r w:rsidR="0017306E" w:rsidRPr="005D531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B61FD5" w:rsidRPr="005D5311">
        <w:rPr>
          <w:rFonts w:ascii="Tahoma" w:hAnsi="Tahoma" w:cs="Tahoma"/>
          <w:szCs w:val="18"/>
          <w:lang w:val="sr-Cyrl-CS"/>
        </w:rPr>
        <w:t xml:space="preserve"> </w:t>
      </w:r>
      <w:r w:rsidR="00E9755F" w:rsidRPr="005D5311">
        <w:rPr>
          <w:rFonts w:ascii="Tahoma" w:hAnsi="Tahoma" w:cs="Tahoma"/>
          <w:szCs w:val="18"/>
          <w:lang w:val="sr-Cyrl-CS"/>
        </w:rPr>
        <w:t>200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17306E" w:rsidRPr="005D531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1</w:t>
      </w:r>
      <w:r w:rsidR="00B040ED" w:rsidRPr="005D5311">
        <w:rPr>
          <w:rFonts w:ascii="Tahoma" w:hAnsi="Tahoma" w:cs="Tahoma"/>
          <w:szCs w:val="18"/>
          <w:lang w:val="sr-Cyrl-CS"/>
        </w:rPr>
        <w:t>6</w:t>
      </w:r>
      <w:r w:rsidR="0017306E" w:rsidRPr="005D5311">
        <w:rPr>
          <w:rFonts w:ascii="Tahoma" w:hAnsi="Tahoma" w:cs="Tahoma"/>
          <w:szCs w:val="18"/>
          <w:lang w:val="sr-Cyrl-CS"/>
        </w:rPr>
        <w:t>,</w:t>
      </w:r>
      <w:r w:rsidR="00E9755F" w:rsidRPr="005D5311">
        <w:rPr>
          <w:rFonts w:ascii="Tahoma" w:hAnsi="Tahoma" w:cs="Tahoma"/>
          <w:szCs w:val="18"/>
          <w:lang w:val="sr-Cyrl-CS"/>
        </w:rPr>
        <w:t>3</w:t>
      </w:r>
      <w:r w:rsidR="0017306E" w:rsidRPr="005D5311">
        <w:rPr>
          <w:rFonts w:ascii="Tahoma" w:hAnsi="Tahoma" w:cs="Tahoma"/>
          <w:szCs w:val="18"/>
          <w:lang w:val="sr-Cyrl-CS"/>
        </w:rPr>
        <w:t>%</w:t>
      </w:r>
      <w:r w:rsidR="0017306E" w:rsidRPr="005D5311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17306E" w:rsidRPr="005D531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 w:rsidR="00781CEE" w:rsidRPr="005D5311">
        <w:rPr>
          <w:rFonts w:ascii="Tahoma" w:hAnsi="Tahoma" w:cs="Tahoma"/>
          <w:szCs w:val="18"/>
          <w:lang w:val="sr-Cyrl-CS"/>
        </w:rPr>
        <w:t>1</w:t>
      </w:r>
      <w:r w:rsidR="00E9755F" w:rsidRPr="005D5311">
        <w:rPr>
          <w:rFonts w:ascii="Tahoma" w:hAnsi="Tahoma" w:cs="Tahoma"/>
          <w:szCs w:val="18"/>
          <w:lang w:val="sr-Cyrl-CS"/>
        </w:rPr>
        <w:t>86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B040ED" w:rsidRPr="005D531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B040ED" w:rsidRPr="005D5311">
        <w:rPr>
          <w:rFonts w:ascii="Tahoma" w:hAnsi="Tahoma" w:cs="Tahoma"/>
          <w:szCs w:val="18"/>
          <w:lang w:val="sr-Cyrl-CS"/>
        </w:rPr>
        <w:t xml:space="preserve"> 15</w:t>
      </w:r>
      <w:r w:rsidR="008D6AC0" w:rsidRPr="005D5311">
        <w:rPr>
          <w:rFonts w:ascii="Tahoma" w:hAnsi="Tahoma" w:cs="Tahoma"/>
          <w:szCs w:val="18"/>
          <w:lang w:val="sr-Cyrl-CS"/>
        </w:rPr>
        <w:t>,</w:t>
      </w:r>
      <w:r w:rsidR="00E9755F" w:rsidRPr="005D5311">
        <w:rPr>
          <w:rFonts w:ascii="Tahoma" w:hAnsi="Tahoma" w:cs="Tahoma"/>
          <w:szCs w:val="18"/>
          <w:lang w:val="sr-Cyrl-CS"/>
        </w:rPr>
        <w:t>1</w:t>
      </w:r>
      <w:r w:rsidR="0017306E" w:rsidRPr="005D5311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17306E" w:rsidRPr="005D531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17306E" w:rsidRPr="005D5311">
        <w:rPr>
          <w:rFonts w:ascii="Tahoma" w:hAnsi="Tahoma" w:cs="Tahoma"/>
          <w:szCs w:val="18"/>
          <w:lang w:val="sr-Cyrl-CS"/>
        </w:rPr>
        <w:t>.</w:t>
      </w:r>
    </w:p>
    <w:p w:rsidR="0017306E" w:rsidRPr="005D5311" w:rsidRDefault="0017306E" w:rsidP="0017306E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5D5311" w:rsidRDefault="00541DAF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582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053E5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D6AC0" w:rsidRPr="005D5311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4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5D5311">
        <w:rPr>
          <w:rFonts w:ascii="Tahoma" w:hAnsi="Tahoma" w:cs="Tahoma"/>
          <w:sz w:val="18"/>
          <w:szCs w:val="18"/>
          <w:lang w:val="sr-Cyrl-CS"/>
        </w:rPr>
        <w:t>3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77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5D5311" w:rsidRDefault="0017306E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7306E" w:rsidRPr="005D5311" w:rsidRDefault="00541DAF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5D531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5D531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5D531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5D5311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5D531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8D6AC0" w:rsidRPr="005D531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8D6AC0" w:rsidRPr="005D5311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B040ED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5D531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5D5311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5D5311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56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B040ED" w:rsidRPr="005D5311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17306E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 xml:space="preserve">574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5D5311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>,</w:t>
      </w:r>
      <w:r w:rsidR="00E9755F" w:rsidRPr="005D5311">
        <w:rPr>
          <w:rFonts w:ascii="Tahoma" w:hAnsi="Tahoma" w:cs="Tahoma"/>
          <w:sz w:val="18"/>
          <w:szCs w:val="18"/>
          <w:lang w:val="sr-Cyrl-BA"/>
        </w:rPr>
        <w:t>0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5D5311">
        <w:rPr>
          <w:rFonts w:ascii="Tahoma" w:hAnsi="Tahoma" w:cs="Tahoma"/>
          <w:sz w:val="18"/>
          <w:szCs w:val="18"/>
          <w:lang w:val="sr-Cyrl-BA"/>
        </w:rPr>
        <w:t>.</w:t>
      </w:r>
    </w:p>
    <w:p w:rsidR="00F664DA" w:rsidRPr="0052611C" w:rsidRDefault="00F664DA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664DA" w:rsidRPr="0052611C" w:rsidRDefault="00F664DA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664DA" w:rsidRPr="0052611C" w:rsidRDefault="00F664DA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78288A" w:rsidRPr="0052611C" w:rsidRDefault="00954CF1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14.2pt;margin-top:6.8pt;width:61.05pt;height:19.75pt;z-index:251658240;mso-width-relative:margin;mso-height-relative:margin" stroked="f">
            <v:textbox style="mso-next-textbox:#_x0000_s1062">
              <w:txbxContent>
                <w:p w:rsidR="00F4528D" w:rsidRPr="0078288A" w:rsidRDefault="00F4528D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11D2E" w:rsidRPr="0052611C" w:rsidRDefault="00D11D2E" w:rsidP="001730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52611C" w:rsidRDefault="00954CF1" w:rsidP="0078288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954CF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90.65pt;margin-top:183.1pt;width:36.15pt;height:16.85pt;z-index:251657216;mso-height-percent:200;mso-height-percent:200;mso-width-relative:margin;mso-height-relative:margin" stroked="f">
            <v:textbox style="mso-fit-shape-to-text:t">
              <w:txbxContent>
                <w:p w:rsidR="00F4528D" w:rsidRPr="0078288A" w:rsidRDefault="00F4528D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954CF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73.85pt;margin-top:183.1pt;width:36.15pt;height:16.85pt;z-index:251656192;mso-height-percent:200;mso-height-percent:200;mso-width-relative:margin;mso-height-relative:margin" stroked="f">
            <v:textbox style="mso-fit-shape-to-text:t">
              <w:txbxContent>
                <w:p w:rsidR="00F4528D" w:rsidRPr="0078288A" w:rsidRDefault="00F4528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  <w:r w:rsidR="003802FC" w:rsidRPr="0052611C">
        <w:rPr>
          <w:noProof/>
        </w:rPr>
        <w:drawing>
          <wp:inline distT="0" distB="0" distL="0" distR="0">
            <wp:extent cx="5543550" cy="2809875"/>
            <wp:effectExtent l="0" t="0" r="0" b="0"/>
            <wp:docPr id="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52611C" w:rsidRDefault="00AF1FE7" w:rsidP="00AF1FE7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</w:p>
    <w:p w:rsidR="005E0301" w:rsidRPr="0052611C" w:rsidRDefault="005E0301" w:rsidP="005E0301">
      <w:pPr>
        <w:tabs>
          <w:tab w:val="left" w:pos="4545"/>
        </w:tabs>
        <w:jc w:val="center"/>
        <w:rPr>
          <w:rFonts w:ascii="Tahoma" w:hAnsi="Tahoma" w:cs="Tahoma"/>
          <w:b/>
        </w:rPr>
      </w:pPr>
    </w:p>
    <w:p w:rsidR="005E0301" w:rsidRPr="0052611C" w:rsidRDefault="00541DAF" w:rsidP="005E0301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52611C">
        <w:rPr>
          <w:rFonts w:ascii="Tahoma" w:hAnsi="Tahoma" w:cs="Tahoma"/>
          <w:sz w:val="16"/>
          <w:szCs w:val="16"/>
          <w:lang w:val="ru-RU"/>
        </w:rPr>
        <w:t xml:space="preserve"> </w:t>
      </w:r>
      <w:r w:rsidR="000328B8" w:rsidRPr="0052611C">
        <w:rPr>
          <w:rFonts w:ascii="Tahoma" w:hAnsi="Tahoma" w:cs="Tahoma"/>
          <w:sz w:val="16"/>
          <w:szCs w:val="16"/>
        </w:rPr>
        <w:t>2</w:t>
      </w:r>
      <w:r w:rsidR="005E0301" w:rsidRPr="0052611C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u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hilj</w:t>
      </w:r>
      <w:r>
        <w:rPr>
          <w:rFonts w:ascii="Tahoma" w:hAnsi="Tahoma" w:cs="Tahoma"/>
          <w:iCs/>
          <w:sz w:val="16"/>
          <w:szCs w:val="16"/>
          <w:lang w:val="sr-Cyrl-CS"/>
        </w:rPr>
        <w:t>adama</w:t>
      </w:r>
      <w:r w:rsidR="005E0301" w:rsidRPr="0052611C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KM</w:t>
      </w:r>
    </w:p>
    <w:p w:rsidR="00D11D2E" w:rsidRPr="0052611C" w:rsidRDefault="00D11D2E" w:rsidP="005E0301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</w:p>
    <w:p w:rsidR="00066F46" w:rsidRPr="0052611C" w:rsidRDefault="00066F46" w:rsidP="005A508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D15DF7" w:rsidRPr="0052611C" w:rsidRDefault="00541DAF" w:rsidP="00D15DF7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Inovativno</w:t>
      </w:r>
      <w:r w:rsidR="00D15DF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aktivno</w:t>
      </w:r>
      <w:r w:rsidR="00D15DF7" w:rsidRPr="0052611C">
        <w:rPr>
          <w:rFonts w:ascii="Tahoma" w:hAnsi="Tahoma" w:cs="Tahoma"/>
          <w:b/>
          <w:sz w:val="28"/>
          <w:szCs w:val="28"/>
          <w:lang w:val="sr-Cyrl-BA"/>
        </w:rPr>
        <w:t xml:space="preserve"> 37,95% </w:t>
      </w:r>
      <w:r>
        <w:rPr>
          <w:rFonts w:ascii="Tahoma" w:hAnsi="Tahoma" w:cs="Tahoma"/>
          <w:b/>
          <w:sz w:val="28"/>
          <w:szCs w:val="28"/>
          <w:lang w:val="sr-Cyrl-BA"/>
        </w:rPr>
        <w:t>preduzeća</w:t>
      </w:r>
      <w:r w:rsidR="00D15DF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D15DF7"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D15DF7" w:rsidRPr="0052611C">
        <w:rPr>
          <w:rFonts w:ascii="Tahoma" w:hAnsi="Tahoma" w:cs="Tahoma"/>
          <w:b/>
          <w:sz w:val="28"/>
          <w:szCs w:val="28"/>
          <w:lang w:val="sr-Cyrl-BA"/>
        </w:rPr>
        <w:t xml:space="preserve"> 2008 – 2010. </w:t>
      </w:r>
    </w:p>
    <w:p w:rsidR="00D15DF7" w:rsidRPr="0052611C" w:rsidRDefault="00541DAF" w:rsidP="00D15DF7">
      <w:pPr>
        <w:tabs>
          <w:tab w:val="left" w:pos="0"/>
          <w:tab w:val="left" w:pos="1100"/>
        </w:tabs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Tehnološku</w:t>
      </w:r>
      <w:r w:rsidR="00D15DF7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inovaciju</w:t>
      </w:r>
      <w:r w:rsidR="00D15DF7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uvelo</w:t>
      </w:r>
      <w:r w:rsidR="00D15DF7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je</w:t>
      </w:r>
      <w:r w:rsidR="00D15DF7" w:rsidRPr="0052611C">
        <w:rPr>
          <w:rFonts w:ascii="Tahoma" w:hAnsi="Tahoma" w:cs="Tahoma"/>
          <w:sz w:val="24"/>
          <w:szCs w:val="24"/>
          <w:lang w:val="ru-RU"/>
        </w:rPr>
        <w:t xml:space="preserve"> 18,50% </w:t>
      </w:r>
      <w:r>
        <w:rPr>
          <w:rFonts w:ascii="Tahoma" w:hAnsi="Tahoma" w:cs="Tahoma"/>
          <w:sz w:val="24"/>
          <w:szCs w:val="24"/>
          <w:lang w:val="ru-RU"/>
        </w:rPr>
        <w:t>preduzeća</w:t>
      </w:r>
      <w:r w:rsidR="00D15DF7" w:rsidRPr="0052611C">
        <w:rPr>
          <w:rFonts w:ascii="Tahoma" w:hAnsi="Tahoma" w:cs="Tahoma"/>
          <w:sz w:val="24"/>
          <w:szCs w:val="24"/>
          <w:lang w:val="ru-RU"/>
        </w:rPr>
        <w:t xml:space="preserve"> </w:t>
      </w:r>
    </w:p>
    <w:p w:rsidR="00D15DF7" w:rsidRPr="0052611C" w:rsidRDefault="00D15DF7" w:rsidP="00D15DF7">
      <w:pPr>
        <w:tabs>
          <w:tab w:val="left" w:pos="0"/>
          <w:tab w:val="left" w:pos="1100"/>
        </w:tabs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Republici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Srpskoj</w:t>
      </w:r>
      <w:r w:rsidR="00D15DF7" w:rsidRPr="005D5311">
        <w:rPr>
          <w:rFonts w:ascii="Tahoma" w:hAnsi="Tahoma" w:cs="Tahoma"/>
          <w:sz w:val="18"/>
          <w:szCs w:val="18"/>
          <w:lang w:val="sr-Latn-BA"/>
        </w:rPr>
        <w:t>,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trogodišnjem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2008 - 2010.</w:t>
      </w:r>
      <w:r w:rsidR="00D15DF7" w:rsidRPr="005D531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15DF7" w:rsidRPr="005D5311">
        <w:rPr>
          <w:rFonts w:ascii="Tahoma" w:hAnsi="Tahoma" w:cs="Tahoma"/>
          <w:sz w:val="18"/>
          <w:szCs w:val="18"/>
          <w:lang w:val="sr-Latn-BA"/>
        </w:rPr>
        <w:t>,</w:t>
      </w:r>
      <w:r w:rsidR="00D15DF7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37,95%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uzorka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Prema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metodološkim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preporukama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inovativno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uvela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fizičkog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usluge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)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procesa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započela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aktivnost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prekinula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uvela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organizaciji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marketingu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</w:p>
    <w:p w:rsidR="00D15DF7" w:rsidRPr="005D5311" w:rsidRDefault="00541DAF" w:rsidP="00D15DF7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Inovativna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aktivnost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povećava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njihove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veličine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tako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61,29% </w:t>
      </w:r>
      <w:r>
        <w:rPr>
          <w:rFonts w:ascii="Tahoma" w:hAnsi="Tahoma" w:cs="Tahoma"/>
          <w:sz w:val="18"/>
          <w:szCs w:val="18"/>
          <w:lang w:val="ru-RU"/>
        </w:rPr>
        <w:t>inovativno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posmatranom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velikih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zatim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43,58%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posmatranom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srednjih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31,44% </w:t>
      </w:r>
      <w:r>
        <w:rPr>
          <w:rFonts w:ascii="Tahoma" w:hAnsi="Tahoma" w:cs="Tahoma"/>
          <w:sz w:val="18"/>
          <w:szCs w:val="18"/>
          <w:lang w:val="ru-RU"/>
        </w:rPr>
        <w:t>inovativno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grupe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malih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</w:p>
    <w:p w:rsidR="00D15DF7" w:rsidRPr="005D5311" w:rsidRDefault="00541DAF" w:rsidP="00D15DF7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područjima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klasifikacije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djelatnosti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zasnovane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NACE Rev. 1.1.,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a </w:t>
      </w:r>
      <w:r>
        <w:rPr>
          <w:rFonts w:ascii="Tahoma" w:hAnsi="Tahoma" w:cs="Tahoma"/>
          <w:sz w:val="18"/>
          <w:szCs w:val="18"/>
          <w:lang w:val="ru-RU"/>
        </w:rPr>
        <w:t>bila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pripadaju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Finansijskog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posredovanja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sve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četiri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vrste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D15DF7" w:rsidRPr="005D5311" w:rsidRDefault="00D15DF7" w:rsidP="00D15DF7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Tehnološku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koja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uključuje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procesa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nedovršene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prekinute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aktivnosti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uvelo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18,50%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28,95%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uvelo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netehnološku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marketinga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/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organizacije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Tehnološku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netehnološku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istovremeno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uvelo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52,55%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D15DF7" w:rsidRPr="005D5311" w:rsidRDefault="00D15DF7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tehnološkim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inovacijama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2008 –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pojedinih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aktivnosti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nabavljala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mašine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opremu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softvere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(76,98%), a </w:t>
      </w:r>
      <w:r>
        <w:rPr>
          <w:rFonts w:ascii="Tahoma" w:hAnsi="Tahoma" w:cs="Tahoma"/>
          <w:sz w:val="18"/>
          <w:szCs w:val="18"/>
          <w:lang w:val="ru-RU"/>
        </w:rPr>
        <w:t>najmanje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koristila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eksterne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usluge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istraživanja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razvoja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(31,32%).</w:t>
      </w:r>
    </w:p>
    <w:p w:rsidR="00D15DF7" w:rsidRPr="005D5311" w:rsidRDefault="00D15DF7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Poboljšanje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kvaliteta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usluga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najveći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naveo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najznačajniji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efekat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postignut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uvođenjem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tehnoloških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najmanji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najznačajniji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efekat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naveo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troškova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materijala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D15DF7" w:rsidRPr="005D5311" w:rsidRDefault="00541DAF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Najznačajniji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efekti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postignuti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netehnološkim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inovacijama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poboljšanje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kvaliteta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usluga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uvođenjem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organizaciji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zadržavanje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postojećeg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učešća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tržištu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uvođenjem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marketingu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D15DF7" w:rsidRPr="005D5311" w:rsidRDefault="00D15DF7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Što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tiče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pojedinih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vrsta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18,21%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uvelo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fizičkog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usluge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procesa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22,38%,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organizaciji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22,89%,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marketingu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22,99%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uzorka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D15DF7" w:rsidRPr="005D5311" w:rsidRDefault="00D15DF7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15DF7" w:rsidRPr="005D5311" w:rsidRDefault="00541DAF" w:rsidP="00D15DF7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lastRenderedPageBreak/>
        <w:t>Nedostatak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finansijskih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sredstava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grupi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kojoj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pripada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40,49%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posmatranog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uzorka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označilo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najznačajniji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faktor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spečava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ometa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provođenju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inovativnih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aktivnosti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najmanji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preduzeća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najznačajnijim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faktorom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ometa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sprečava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inoviranju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navelo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ranije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inovacije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njih</w:t>
      </w:r>
      <w:r w:rsidR="00D15DF7" w:rsidRPr="005D5311">
        <w:rPr>
          <w:rFonts w:ascii="Tahoma" w:hAnsi="Tahoma" w:cs="Tahoma"/>
          <w:sz w:val="18"/>
          <w:szCs w:val="18"/>
          <w:lang w:val="ru-RU"/>
        </w:rPr>
        <w:t xml:space="preserve"> 5,29%.</w:t>
      </w:r>
    </w:p>
    <w:p w:rsidR="00D15DF7" w:rsidRPr="0052611C" w:rsidRDefault="00D15DF7" w:rsidP="005A508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D15DF7" w:rsidRPr="0052611C" w:rsidRDefault="00D15DF7" w:rsidP="005A508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D15DF7" w:rsidRPr="0052611C" w:rsidRDefault="00954CF1" w:rsidP="00D15DF7">
      <w:pPr>
        <w:ind w:firstLine="708"/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noProof/>
          <w:sz w:val="16"/>
          <w:szCs w:val="16"/>
        </w:rPr>
        <w:pict>
          <v:shape id="_x0000_s1073" type="#_x0000_t202" style="position:absolute;left:0;text-align:left;margin-left:322.25pt;margin-top:33.55pt;width:159.95pt;height:22.9pt;z-index:251665408;mso-width-relative:margin;mso-height-relative:margin" filled="f" stroked="f">
            <v:textbox inset="0,0,0,0">
              <w:txbxContent>
                <w:p w:rsidR="00F4528D" w:rsidRPr="00541DAF" w:rsidRDefault="00541DAF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Preduzeća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sa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netehnološkim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inovacijama</w:t>
                  </w:r>
                </w:p>
                <w:p w:rsidR="00F4528D" w:rsidRPr="00541DAF" w:rsidRDefault="00F4528D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28,95%</w:t>
                  </w:r>
                </w:p>
              </w:txbxContent>
            </v:textbox>
          </v:shape>
        </w:pict>
      </w:r>
      <w:r w:rsidRPr="00954CF1">
        <w:rPr>
          <w:rFonts w:ascii="Tahoma" w:hAnsi="Tahoma" w:cs="Tahoma"/>
          <w:noProof/>
          <w:sz w:val="18"/>
          <w:szCs w:val="18"/>
          <w:lang w:val="ru-RU" w:eastAsia="zh-TW"/>
        </w:rPr>
        <w:pict>
          <v:shape id="_x0000_s1071" type="#_x0000_t202" style="position:absolute;left:0;text-align:left;margin-left:57.1pt;margin-top:33.55pt;width:159.95pt;height:20.7pt;z-index:251663360;mso-width-relative:margin;mso-height-relative:margin" filled="f" stroked="f">
            <v:textbox inset="0,0,0,0">
              <w:txbxContent>
                <w:p w:rsidR="00F4528D" w:rsidRPr="00541DAF" w:rsidRDefault="00541DAF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Preduzeća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sa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tehnološkim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inovacijama</w:t>
                  </w:r>
                </w:p>
                <w:p w:rsidR="00F4528D" w:rsidRPr="00541DAF" w:rsidRDefault="00F4528D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18,50%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6"/>
          <w:szCs w:val="16"/>
        </w:rPr>
        <w:pict>
          <v:shape id="_x0000_s1072" type="#_x0000_t202" style="position:absolute;left:0;text-align:left;margin-left:-23.1pt;margin-top:120.55pt;width:240.15pt;height:29.4pt;z-index:251664384;mso-width-relative:margin;mso-height-relative:margin" filled="f" stroked="f">
            <v:textbox inset="0,0,0,0">
              <w:txbxContent>
                <w:p w:rsidR="00F4528D" w:rsidRPr="00541DAF" w:rsidRDefault="00541DAF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Preduzeća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sa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tehnološkim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i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netehnološkikim</w:t>
                  </w:r>
                  <w:r w:rsidR="00F4528D"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inovacijama</w:t>
                  </w:r>
                </w:p>
                <w:p w:rsidR="00F4528D" w:rsidRPr="00541DAF" w:rsidRDefault="00F4528D" w:rsidP="00D15DF7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541DAF"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52,55%</w:t>
                  </w:r>
                </w:p>
              </w:txbxContent>
            </v:textbox>
          </v:shape>
        </w:pict>
      </w:r>
      <w:r w:rsidR="00D15DF7" w:rsidRPr="0052611C">
        <w:rPr>
          <w:rFonts w:ascii="Tahoma" w:hAnsi="Tahoma" w:cs="Tahoma"/>
          <w:b/>
          <w:noProof/>
          <w:spacing w:val="-16"/>
          <w:sz w:val="28"/>
          <w:szCs w:val="28"/>
        </w:rPr>
        <w:drawing>
          <wp:inline distT="0" distB="0" distL="0" distR="0">
            <wp:extent cx="3857625" cy="2352675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5DF7" w:rsidRPr="0052611C" w:rsidRDefault="00D15DF7" w:rsidP="00D15DF7">
      <w:pPr>
        <w:ind w:firstLine="708"/>
        <w:jc w:val="center"/>
        <w:rPr>
          <w:rFonts w:ascii="Tahoma" w:hAnsi="Tahoma" w:cs="Tahoma"/>
          <w:sz w:val="16"/>
          <w:szCs w:val="16"/>
          <w:lang w:val="ru-RU"/>
        </w:rPr>
      </w:pPr>
    </w:p>
    <w:p w:rsidR="00D15DF7" w:rsidRPr="0052611C" w:rsidRDefault="00541DAF" w:rsidP="00D15DF7">
      <w:pPr>
        <w:ind w:firstLine="708"/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1. </w:t>
      </w:r>
      <w:r>
        <w:rPr>
          <w:rFonts w:ascii="Tahoma" w:hAnsi="Tahoma" w:cs="Tahoma"/>
          <w:sz w:val="16"/>
          <w:szCs w:val="16"/>
          <w:lang w:val="ru-RU"/>
        </w:rPr>
        <w:t>Inovativno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sz w:val="16"/>
          <w:szCs w:val="16"/>
          <w:lang w:val="ru-RU"/>
        </w:rPr>
        <w:t>aktivna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sz w:val="16"/>
          <w:szCs w:val="16"/>
          <w:lang w:val="ru-RU"/>
        </w:rPr>
        <w:t>preduzeća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sz w:val="16"/>
          <w:szCs w:val="16"/>
          <w:lang w:val="ru-RU"/>
        </w:rPr>
        <w:t>u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sz w:val="16"/>
          <w:szCs w:val="16"/>
          <w:lang w:val="ru-RU"/>
        </w:rPr>
        <w:t>periodu</w:t>
      </w:r>
      <w:r w:rsidR="00D15DF7" w:rsidRPr="0052611C">
        <w:rPr>
          <w:rFonts w:ascii="Tahoma" w:hAnsi="Tahoma" w:cs="Tahoma"/>
          <w:sz w:val="16"/>
          <w:szCs w:val="16"/>
          <w:lang w:val="ru-RU"/>
        </w:rPr>
        <w:t xml:space="preserve"> 2008 – 2010. </w:t>
      </w:r>
      <w:r>
        <w:rPr>
          <w:rFonts w:ascii="Tahoma" w:hAnsi="Tahoma" w:cs="Tahoma"/>
          <w:sz w:val="16"/>
          <w:szCs w:val="16"/>
          <w:lang w:val="ru-RU"/>
        </w:rPr>
        <w:t>godine</w:t>
      </w:r>
    </w:p>
    <w:p w:rsidR="00D15DF7" w:rsidRPr="0052611C" w:rsidRDefault="00D15DF7" w:rsidP="00D15DF7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D15DF7" w:rsidRPr="0052611C" w:rsidRDefault="00D15DF7" w:rsidP="005A508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8F0147" w:rsidRPr="0052611C" w:rsidRDefault="00541DAF" w:rsidP="008F0147">
      <w:pPr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Promet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trgovini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na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malo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veći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8F46DE" w:rsidRPr="005D5311">
        <w:rPr>
          <w:rFonts w:ascii="Tahoma" w:hAnsi="Tahoma" w:cs="Tahoma"/>
          <w:b/>
          <w:sz w:val="28"/>
          <w:szCs w:val="28"/>
          <w:lang w:val="ru-RU"/>
        </w:rPr>
        <w:t>1.5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>% (</w:t>
      </w:r>
      <w:r w:rsidR="008F0147" w:rsidRPr="0052611C">
        <w:rPr>
          <w:rFonts w:ascii="Tahoma" w:hAnsi="Tahoma" w:cs="Tahoma"/>
          <w:b/>
          <w:sz w:val="28"/>
          <w:szCs w:val="28"/>
        </w:rPr>
        <w:t>V</w:t>
      </w:r>
      <w:r w:rsidR="008F46DE">
        <w:rPr>
          <w:rFonts w:ascii="Tahoma" w:hAnsi="Tahoma" w:cs="Tahoma"/>
          <w:b/>
          <w:sz w:val="28"/>
          <w:szCs w:val="28"/>
        </w:rPr>
        <w:t>I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2011/</w:t>
      </w:r>
      <w:r w:rsidR="008F0147" w:rsidRPr="0052611C">
        <w:rPr>
          <w:rFonts w:ascii="Tahoma" w:hAnsi="Tahoma" w:cs="Tahoma"/>
          <w:b/>
          <w:sz w:val="28"/>
          <w:szCs w:val="28"/>
        </w:rPr>
        <w:t>V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5D5311">
        <w:rPr>
          <w:rFonts w:ascii="Tahoma" w:hAnsi="Tahoma" w:cs="Tahoma"/>
          <w:b/>
          <w:sz w:val="28"/>
          <w:szCs w:val="28"/>
          <w:lang w:val="ru-RU"/>
        </w:rPr>
        <w:t>1</w:t>
      </w:r>
      <w:r w:rsidR="008F0147" w:rsidRPr="0052611C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8F0147" w:rsidRPr="0052611C" w:rsidRDefault="008F0147" w:rsidP="008F0147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6E43EC" w:rsidRPr="005D5311" w:rsidRDefault="00541DAF" w:rsidP="006E43EC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Promet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1,5%,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9,0%,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10,1%.</w:t>
      </w:r>
    </w:p>
    <w:p w:rsidR="006E43EC" w:rsidRPr="005D5311" w:rsidRDefault="006E43EC" w:rsidP="006E43EC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F0147" w:rsidRPr="005D5311" w:rsidRDefault="00541DAF" w:rsidP="006E43EC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prometa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najviše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učestvuje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nespecijalizovanim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prodavnicama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28,4%, </w:t>
      </w:r>
      <w:r>
        <w:rPr>
          <w:rFonts w:ascii="Tahoma" w:hAnsi="Tahoma" w:cs="Tahoma"/>
          <w:sz w:val="18"/>
          <w:szCs w:val="18"/>
          <w:lang w:val="sr-Cyrl-CS"/>
        </w:rPr>
        <w:t>trgovina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motornim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gorivima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mazivima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27,6%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novom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robom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specijaliziranim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prodavnicama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20,3%,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najmanje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učestvuje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izvan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prodavnica</w:t>
      </w:r>
      <w:r w:rsidR="006E43EC" w:rsidRPr="005D5311">
        <w:rPr>
          <w:rFonts w:ascii="Tahoma" w:hAnsi="Tahoma" w:cs="Tahoma"/>
          <w:sz w:val="18"/>
          <w:szCs w:val="18"/>
          <w:lang w:val="sr-Cyrl-CS"/>
        </w:rPr>
        <w:t xml:space="preserve"> 0,3%</w:t>
      </w:r>
      <w:r w:rsidR="005D5311">
        <w:rPr>
          <w:rFonts w:ascii="Tahoma" w:hAnsi="Tahoma" w:cs="Tahoma"/>
          <w:sz w:val="18"/>
          <w:szCs w:val="18"/>
          <w:lang w:val="sr-Cyrl-CS"/>
        </w:rPr>
        <w:t>.</w:t>
      </w:r>
    </w:p>
    <w:p w:rsidR="008F0147" w:rsidRDefault="008F0147" w:rsidP="005A508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3A5F78" w:rsidRPr="00E15BE0" w:rsidRDefault="00541DAF" w:rsidP="003A5F7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>
        <w:rPr>
          <w:rFonts w:ascii="Tahoma" w:hAnsi="Tahoma" w:cs="Tahoma"/>
          <w:b/>
          <w:spacing w:val="-16"/>
          <w:sz w:val="28"/>
          <w:szCs w:val="28"/>
          <w:lang w:val="ru-RU"/>
        </w:rPr>
        <w:t>Zabilježeno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3A5F78" w:rsidRPr="00E85AD4">
        <w:rPr>
          <w:rFonts w:ascii="Tahoma" w:hAnsi="Tahoma" w:cs="Tahoma"/>
          <w:b/>
          <w:spacing w:val="-16"/>
          <w:sz w:val="28"/>
          <w:szCs w:val="28"/>
          <w:lang w:val="ru-RU"/>
        </w:rPr>
        <w:t>4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3A5F78">
        <w:rPr>
          <w:rFonts w:ascii="Tahoma" w:hAnsi="Tahoma" w:cs="Tahoma"/>
          <w:b/>
          <w:spacing w:val="-16"/>
          <w:sz w:val="28"/>
          <w:szCs w:val="28"/>
          <w:lang w:val="sr-Latn-CS"/>
        </w:rPr>
        <w:t>2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manje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noćenja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BA"/>
        </w:rPr>
        <w:t>u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junu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nego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u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maju</w:t>
      </w:r>
      <w:r w:rsidR="003A5F78" w:rsidRPr="00E15BE0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3A5F78" w:rsidRPr="00E15BE0" w:rsidRDefault="00541DAF" w:rsidP="003A5F78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  <w:lang w:val="ru-RU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Najviše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noćenja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turista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iz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Srbije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to</w:t>
      </w:r>
      <w:r w:rsidR="003A5F78" w:rsidRPr="00E15BE0">
        <w:rPr>
          <w:rFonts w:ascii="Tahoma" w:hAnsi="Tahoma" w:cs="Tahoma"/>
          <w:spacing w:val="-14"/>
          <w:sz w:val="24"/>
          <w:szCs w:val="24"/>
          <w:lang w:val="ru-RU"/>
        </w:rPr>
        <w:t xml:space="preserve"> 7 </w:t>
      </w:r>
      <w:r w:rsidR="003A5F78">
        <w:rPr>
          <w:rFonts w:ascii="Tahoma" w:hAnsi="Tahoma" w:cs="Tahoma"/>
          <w:spacing w:val="-14"/>
          <w:sz w:val="24"/>
          <w:szCs w:val="24"/>
          <w:lang w:val="ru-RU"/>
        </w:rPr>
        <w:t>596</w:t>
      </w:r>
    </w:p>
    <w:p w:rsidR="00FD5ABF" w:rsidRPr="0052611C" w:rsidRDefault="00FD5ABF" w:rsidP="00FD5ABF">
      <w:pPr>
        <w:pStyle w:val="Default"/>
        <w:rPr>
          <w:color w:val="auto"/>
          <w:highlight w:val="yellow"/>
          <w:lang w:val="ru-RU"/>
        </w:rPr>
      </w:pPr>
    </w:p>
    <w:p w:rsidR="003A5F78" w:rsidRPr="005D5311" w:rsidRDefault="00541DAF" w:rsidP="003A5F78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Republika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raspolagala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kapacitetom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4 243 </w:t>
      </w:r>
      <w:r>
        <w:rPr>
          <w:rFonts w:ascii="Tahoma" w:hAnsi="Tahoma" w:cs="Tahoma"/>
          <w:sz w:val="18"/>
          <w:szCs w:val="18"/>
          <w:lang w:val="ru-RU"/>
        </w:rPr>
        <w:t>sobe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9 119 </w:t>
      </w:r>
      <w:r>
        <w:rPr>
          <w:rFonts w:ascii="Tahoma" w:hAnsi="Tahoma" w:cs="Tahoma"/>
          <w:sz w:val="18"/>
          <w:szCs w:val="18"/>
          <w:lang w:val="ru-RU"/>
        </w:rPr>
        <w:t>ležaja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>.</w:t>
      </w:r>
    </w:p>
    <w:p w:rsidR="003A5F78" w:rsidRPr="005D5311" w:rsidRDefault="003A5F78" w:rsidP="003A5F78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3A5F78" w:rsidRPr="005D5311" w:rsidRDefault="00541DAF" w:rsidP="003A5F78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23 025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2,2%,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57 407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4,2%.</w:t>
      </w:r>
      <w:r w:rsidR="003A5F78" w:rsidRPr="005D5311">
        <w:rPr>
          <w:sz w:val="18"/>
          <w:szCs w:val="18"/>
          <w:lang w:val="sr-Cyrl-BA"/>
        </w:rPr>
        <w:t xml:space="preserve"> </w:t>
      </w:r>
    </w:p>
    <w:p w:rsidR="003A5F78" w:rsidRPr="005D5311" w:rsidRDefault="003A5F78" w:rsidP="003A5F78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3A5F78" w:rsidRPr="005D5311" w:rsidRDefault="00541DAF" w:rsidP="003A5F78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Poredeći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>1</w:t>
      </w:r>
      <w:r w:rsidR="003A5F78" w:rsidRPr="005D5311">
        <w:rPr>
          <w:rFonts w:ascii="Tahoma" w:hAnsi="Tahoma" w:cs="Tahoma"/>
          <w:sz w:val="18"/>
          <w:szCs w:val="18"/>
          <w:lang w:val="sr-Cyrl-CS"/>
        </w:rPr>
        <w:t>1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zabilježeno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dolazaka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4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>,9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0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>,1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>%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>.</w:t>
      </w:r>
    </w:p>
    <w:p w:rsidR="003A5F78" w:rsidRPr="005D5311" w:rsidRDefault="003A5F78" w:rsidP="003A5F78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3A5F78" w:rsidRPr="005D5311" w:rsidRDefault="00541DAF" w:rsidP="003A5F78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Domaći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14 273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8,3%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40 276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1,4%.</w:t>
      </w:r>
    </w:p>
    <w:p w:rsidR="003A5F78" w:rsidRPr="005D5311" w:rsidRDefault="003A5F78" w:rsidP="003A5F78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3A5F78" w:rsidRPr="005D5311" w:rsidRDefault="00541DAF" w:rsidP="003A5F78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Strani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8 752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1,1%,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 17 131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3,2%.</w:t>
      </w:r>
    </w:p>
    <w:p w:rsidR="003A5F78" w:rsidRPr="005D5311" w:rsidRDefault="003A5F78" w:rsidP="003A5F78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3A5F78" w:rsidRPr="005D5311" w:rsidRDefault="00541DAF" w:rsidP="003A5F78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Od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stranih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ostvarili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turisti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Srbije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(7 596),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9,0%.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drugom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Slovenija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ostvarenih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1 586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34,7%.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trećem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ostvarenom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Hrvatska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(1 450),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5D5311">
        <w:rPr>
          <w:rFonts w:ascii="Tahoma" w:hAnsi="Tahoma" w:cs="Tahoma"/>
          <w:sz w:val="18"/>
          <w:szCs w:val="18"/>
          <w:lang w:val="ru-RU"/>
        </w:rPr>
        <w:t xml:space="preserve"> 15,6%.</w:t>
      </w:r>
    </w:p>
    <w:p w:rsidR="00F94323" w:rsidRPr="000A1737" w:rsidRDefault="00F94323" w:rsidP="00211CC7">
      <w:pPr>
        <w:ind w:firstLine="720"/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F94323" w:rsidRPr="008D5FEB" w:rsidRDefault="00F94323" w:rsidP="00211CC7">
      <w:pPr>
        <w:ind w:firstLine="720"/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1F25AB" w:rsidRPr="00E85AD4" w:rsidRDefault="001F25AB" w:rsidP="00E15BE0">
      <w:pPr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6"/>
          <w:szCs w:val="16"/>
          <w:lang w:val="ru-RU"/>
        </w:rPr>
      </w:pPr>
    </w:p>
    <w:p w:rsidR="001F25AB" w:rsidRPr="000A1737" w:rsidRDefault="001F25AB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813E2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541DAF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>
              <w:rPr>
                <w:rFonts w:ascii="Tahoma" w:hAnsi="Tahoma" w:cs="Tahoma"/>
                <w:b/>
                <w:lang w:val="sr-Cyrl-CS"/>
              </w:rPr>
              <w:t>: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</w:tc>
      </w:tr>
      <w:tr w:rsidR="007811E3" w:rsidRPr="00075147" w:rsidTr="007811E3">
        <w:trPr>
          <w:trHeight w:hRule="exact" w:val="1418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811E3" w:rsidRPr="00CD2CBF" w:rsidRDefault="00541DAF" w:rsidP="007811E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7811E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5903C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  <w:r w:rsidR="007811E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7811E3" w:rsidRPr="007811E3" w:rsidRDefault="00541DAF" w:rsidP="007811E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Milka</w:t>
            </w:r>
            <w:r w:rsidR="007811E3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Ciganović</w:t>
            </w:r>
          </w:p>
          <w:p w:rsidR="007811E3" w:rsidRDefault="00954CF1" w:rsidP="007811E3">
            <w:pPr>
              <w:rPr>
                <w:rFonts w:ascii="Tahoma" w:hAnsi="Tahoma" w:cs="Tahoma"/>
                <w:b/>
                <w:sz w:val="16"/>
              </w:rPr>
            </w:pPr>
            <w:hyperlink r:id="rId12" w:history="1"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milka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ciganovic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7811E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7811E3" w:rsidRPr="006B1A71" w:rsidRDefault="00541DAF" w:rsidP="007811E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Dijana</w:t>
            </w:r>
            <w:r w:rsidR="007811E3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Dedić</w:t>
            </w:r>
          </w:p>
          <w:p w:rsidR="007811E3" w:rsidRDefault="00954CF1" w:rsidP="007811E3">
            <w:pPr>
              <w:rPr>
                <w:rFonts w:ascii="Tahoma" w:hAnsi="Tahoma" w:cs="Tahoma"/>
                <w:b/>
                <w:sz w:val="16"/>
              </w:rPr>
            </w:pPr>
            <w:hyperlink r:id="rId13" w:history="1"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dijana.dedic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7811E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7811E3" w:rsidRPr="007811E3" w:rsidRDefault="00541DAF" w:rsidP="007811E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Jadranka</w:t>
            </w:r>
            <w:r w:rsidR="007811E3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Luburić</w:t>
            </w:r>
          </w:p>
          <w:p w:rsidR="007811E3" w:rsidRDefault="00954CF1" w:rsidP="007811E3">
            <w:pPr>
              <w:rPr>
                <w:rFonts w:ascii="Tahoma" w:hAnsi="Tahoma" w:cs="Tahoma"/>
                <w:b/>
                <w:sz w:val="16"/>
              </w:rPr>
            </w:pPr>
            <w:hyperlink r:id="rId14" w:history="1"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jadranka.luburic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7811E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7811E3" w:rsidRPr="007811E3" w:rsidRDefault="007811E3" w:rsidP="007811E3">
            <w:pPr>
              <w:rPr>
                <w:rFonts w:ascii="Tahoma" w:hAnsi="Tahoma" w:cs="Tahoma"/>
                <w:b/>
                <w:sz w:val="16"/>
              </w:rPr>
            </w:pPr>
          </w:p>
          <w:p w:rsidR="007811E3" w:rsidRPr="007811E3" w:rsidRDefault="007811E3" w:rsidP="007811E3">
            <w:pPr>
              <w:rPr>
                <w:rFonts w:ascii="Tahoma" w:hAnsi="Tahoma" w:cs="Tahoma"/>
                <w:b/>
                <w:sz w:val="16"/>
              </w:rPr>
            </w:pPr>
          </w:p>
          <w:p w:rsidR="007811E3" w:rsidRDefault="007811E3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075147" w:rsidTr="00256C51">
        <w:trPr>
          <w:trHeight w:hRule="exact"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CD2CBF" w:rsidRDefault="00541DAF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541DAF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Danica</w:t>
            </w:r>
            <w:r w:rsidR="000F0E43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Babić</w:t>
            </w:r>
          </w:p>
          <w:p w:rsidR="000F0E43" w:rsidRPr="000A1737" w:rsidRDefault="00954CF1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hyperlink r:id="rId15" w:history="1"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danica</w:t>
              </w:r>
              <w:r w:rsidR="000F0E43" w:rsidRPr="006B1A71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babic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0F0E4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0F0E43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DA68BE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1431EA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541DAF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541DA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C10CD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Default="00954CF1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jasminka</w:t>
              </w:r>
              <w:r w:rsidR="008C3261" w:rsidRPr="00B83328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milic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431E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217F1" w:rsidRDefault="00541DAF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CD7531" w:rsidRDefault="00541DA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Default="00954CF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mirjana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bandur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8C3261" w:rsidRPr="006E56E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541DAF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541DAF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Default="00954CF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sanja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stojcevic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7811E3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811E3" w:rsidRPr="00CD2CBF" w:rsidRDefault="00541DAF" w:rsidP="007811E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7811E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inovativnih</w:t>
            </w:r>
            <w:r w:rsidR="007811E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aktivnosti</w:t>
            </w:r>
            <w:r w:rsidR="007811E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7811E3" w:rsidRPr="007811E3" w:rsidRDefault="00541DAF" w:rsidP="007811E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Dolores</w:t>
            </w:r>
            <w:r w:rsidR="007811E3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Peulić</w:t>
            </w:r>
          </w:p>
          <w:p w:rsidR="007811E3" w:rsidRDefault="00954CF1" w:rsidP="007811E3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dolores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peulic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7811E3" w:rsidRPr="00F912E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7811E3" w:rsidRDefault="007811E3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541DAF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unutrašnje</w:t>
            </w:r>
            <w:r w:rsidR="008D6CF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541DAF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Sanela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Vasiljević</w:t>
            </w:r>
          </w:p>
          <w:p w:rsidR="008D6CFA" w:rsidRDefault="00954CF1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0" w:history="1"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sanela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vasiljevic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541DAF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turizma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541DAF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Miroslav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Ilić</w:t>
            </w:r>
          </w:p>
          <w:p w:rsidR="008D6CFA" w:rsidRDefault="00954CF1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1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miroslav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ilic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8C3261" w:rsidRDefault="008C3261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845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541DAF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460A5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600A4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962DD">
              <w:rPr>
                <w:rFonts w:ascii="Tahoma" w:hAnsi="Tahoma" w:cs="Tahoma"/>
                <w:b/>
                <w:bCs/>
              </w:rPr>
              <w:sym w:font="Symbol" w:char="00C6"/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9600A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541DA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F2311A" w:rsidRDefault="00F2311A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2311A" w:rsidRDefault="00F2311A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2311A" w:rsidRPr="00F2311A" w:rsidRDefault="00F2311A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F491D" w:rsidRDefault="00AF491D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460A5B" w:rsidRDefault="00954CF1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954CF1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711D85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711D85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541DAF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B91055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711D8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i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štampa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711D8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695E4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711D8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>,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www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rzs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ba</w:t>
            </w:r>
          </w:p>
          <w:p w:rsidR="008C3261" w:rsidRPr="00711D85" w:rsidRDefault="00541DA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450CD5">
              <w:rPr>
                <w:rFonts w:ascii="Tahoma" w:hAnsi="Tahoma" w:cs="Tahoma"/>
                <w:sz w:val="16"/>
                <w:lang w:val="ru-RU"/>
              </w:rPr>
              <w:t>. +387 51</w:t>
            </w:r>
            <w:r w:rsidR="008C3261">
              <w:rPr>
                <w:rFonts w:ascii="Tahoma" w:hAnsi="Tahoma" w:cs="Tahoma"/>
                <w:sz w:val="16"/>
                <w:lang w:val="ru-RU"/>
              </w:rPr>
              <w:t> </w:t>
            </w:r>
            <w:r w:rsidR="008C3261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332 700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E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-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mail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: </w:t>
            </w:r>
            <w:hyperlink r:id="rId22" w:history="1"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stat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@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rzs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450CD5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711D85" w:rsidRDefault="00541DAF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Default="00954CF1" w:rsidP="008C3261">
      <w:pPr>
        <w:rPr>
          <w:lang w:val="sr-Cyrl-BA"/>
        </w:rPr>
      </w:pPr>
      <w:r w:rsidRPr="00954CF1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Default="00657939" w:rsidP="008C3261">
      <w:pPr>
        <w:rPr>
          <w:lang w:val="sr-Cyrl-BA"/>
        </w:rPr>
      </w:pPr>
    </w:p>
    <w:sectPr w:rsidR="00657939" w:rsidSect="005D5311">
      <w:headerReference w:type="default" r:id="rId23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ED" w:rsidRDefault="00DD42ED">
      <w:r>
        <w:separator/>
      </w:r>
    </w:p>
  </w:endnote>
  <w:endnote w:type="continuationSeparator" w:id="0">
    <w:p w:rsidR="00DD42ED" w:rsidRDefault="00DD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ED" w:rsidRDefault="00DD42ED">
      <w:r>
        <w:separator/>
      </w:r>
    </w:p>
  </w:footnote>
  <w:footnote w:type="continuationSeparator" w:id="0">
    <w:p w:rsidR="00DD42ED" w:rsidRDefault="00DD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4528D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4528D" w:rsidRPr="00541DAF" w:rsidRDefault="00541DAF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Republički zavod za statistiku</w:t>
          </w:r>
        </w:p>
        <w:p w:rsidR="00F4528D" w:rsidRPr="00541DAF" w:rsidRDefault="00541DAF" w:rsidP="00E34FA2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4528D" w:rsidRPr="005D5311" w:rsidRDefault="00F4528D" w:rsidP="00541DA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 w:rsidR="00C01474">
            <w:rPr>
              <w:rFonts w:ascii="Tahoma" w:hAnsi="Tahoma" w:cs="Tahoma"/>
              <w:color w:val="0070C0"/>
              <w:sz w:val="16"/>
              <w:lang w:val="sr-Cyrl-BA"/>
            </w:rPr>
            <w:t>8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541DAF">
            <w:rPr>
              <w:rFonts w:ascii="Tahoma" w:hAnsi="Tahoma" w:cs="Tahoma"/>
              <w:color w:val="0070C0"/>
              <w:sz w:val="16"/>
              <w:lang w:val="sr-Latn-CS"/>
            </w:rPr>
            <w:t>jul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07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954CF1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954CF1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541DAF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954CF1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F4528D" w:rsidRDefault="00954CF1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954CF1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50308"/>
    <w:rsid w:val="00050457"/>
    <w:rsid w:val="00051051"/>
    <w:rsid w:val="00051B7E"/>
    <w:rsid w:val="00051C70"/>
    <w:rsid w:val="00052187"/>
    <w:rsid w:val="00052327"/>
    <w:rsid w:val="00052AA1"/>
    <w:rsid w:val="00053FAA"/>
    <w:rsid w:val="000542A7"/>
    <w:rsid w:val="0005459B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58F4"/>
    <w:rsid w:val="000D6225"/>
    <w:rsid w:val="000D6478"/>
    <w:rsid w:val="000D64AC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938"/>
    <w:rsid w:val="001170A3"/>
    <w:rsid w:val="00120CF2"/>
    <w:rsid w:val="00120DC7"/>
    <w:rsid w:val="00121006"/>
    <w:rsid w:val="001212B2"/>
    <w:rsid w:val="00121D87"/>
    <w:rsid w:val="00121D96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7C99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B6A"/>
    <w:rsid w:val="00162629"/>
    <w:rsid w:val="00163A9B"/>
    <w:rsid w:val="00164E59"/>
    <w:rsid w:val="001655F9"/>
    <w:rsid w:val="001658E6"/>
    <w:rsid w:val="001658F6"/>
    <w:rsid w:val="00165FE9"/>
    <w:rsid w:val="00167333"/>
    <w:rsid w:val="001700D8"/>
    <w:rsid w:val="001702DD"/>
    <w:rsid w:val="001704AA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5A80"/>
    <w:rsid w:val="001B63FD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2A95"/>
    <w:rsid w:val="001D32FB"/>
    <w:rsid w:val="001D3B70"/>
    <w:rsid w:val="001D464D"/>
    <w:rsid w:val="001D4B40"/>
    <w:rsid w:val="001D4F92"/>
    <w:rsid w:val="001D5564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B94"/>
    <w:rsid w:val="00282901"/>
    <w:rsid w:val="00282F33"/>
    <w:rsid w:val="0028333A"/>
    <w:rsid w:val="002833DF"/>
    <w:rsid w:val="00284362"/>
    <w:rsid w:val="00284583"/>
    <w:rsid w:val="002846F8"/>
    <w:rsid w:val="00284ED6"/>
    <w:rsid w:val="00285ABF"/>
    <w:rsid w:val="00286541"/>
    <w:rsid w:val="00286BE3"/>
    <w:rsid w:val="00286F2A"/>
    <w:rsid w:val="0028723A"/>
    <w:rsid w:val="002874ED"/>
    <w:rsid w:val="00287980"/>
    <w:rsid w:val="00287BDB"/>
    <w:rsid w:val="00290C08"/>
    <w:rsid w:val="002912C8"/>
    <w:rsid w:val="00291470"/>
    <w:rsid w:val="00291B43"/>
    <w:rsid w:val="00291DDA"/>
    <w:rsid w:val="002930F7"/>
    <w:rsid w:val="00293698"/>
    <w:rsid w:val="00293728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2D25"/>
    <w:rsid w:val="002A2D6C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12EA"/>
    <w:rsid w:val="002B16A4"/>
    <w:rsid w:val="002B1FEF"/>
    <w:rsid w:val="002B2333"/>
    <w:rsid w:val="002B2749"/>
    <w:rsid w:val="002B39A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61A6"/>
    <w:rsid w:val="002E651F"/>
    <w:rsid w:val="002E66C9"/>
    <w:rsid w:val="002E6C7D"/>
    <w:rsid w:val="002E72E4"/>
    <w:rsid w:val="002E79F1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5AD"/>
    <w:rsid w:val="003829AC"/>
    <w:rsid w:val="00383BEF"/>
    <w:rsid w:val="003847DE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E4"/>
    <w:rsid w:val="00403492"/>
    <w:rsid w:val="00403539"/>
    <w:rsid w:val="00403DE5"/>
    <w:rsid w:val="0040451D"/>
    <w:rsid w:val="00404CCD"/>
    <w:rsid w:val="00404CD2"/>
    <w:rsid w:val="00405C30"/>
    <w:rsid w:val="004075AA"/>
    <w:rsid w:val="0040787F"/>
    <w:rsid w:val="00407963"/>
    <w:rsid w:val="00407BAF"/>
    <w:rsid w:val="00407EBD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D82"/>
    <w:rsid w:val="004272AF"/>
    <w:rsid w:val="004278E9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F9D"/>
    <w:rsid w:val="004C2680"/>
    <w:rsid w:val="004C277B"/>
    <w:rsid w:val="004C27BF"/>
    <w:rsid w:val="004C2910"/>
    <w:rsid w:val="004C2B3F"/>
    <w:rsid w:val="004C2E68"/>
    <w:rsid w:val="004C3325"/>
    <w:rsid w:val="004C40CC"/>
    <w:rsid w:val="004C52F7"/>
    <w:rsid w:val="004C54CD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F93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BA"/>
    <w:rsid w:val="00540FDE"/>
    <w:rsid w:val="00541A13"/>
    <w:rsid w:val="00541D29"/>
    <w:rsid w:val="00541DAF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228C"/>
    <w:rsid w:val="00552635"/>
    <w:rsid w:val="00552702"/>
    <w:rsid w:val="00552F07"/>
    <w:rsid w:val="0055398D"/>
    <w:rsid w:val="00553BE9"/>
    <w:rsid w:val="005540B3"/>
    <w:rsid w:val="005541DB"/>
    <w:rsid w:val="00554BC4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D38"/>
    <w:rsid w:val="00563EEC"/>
    <w:rsid w:val="00564204"/>
    <w:rsid w:val="00564A89"/>
    <w:rsid w:val="00564C0D"/>
    <w:rsid w:val="00565126"/>
    <w:rsid w:val="005651B6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B0E0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36"/>
    <w:rsid w:val="005D7154"/>
    <w:rsid w:val="005D777F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74B0"/>
    <w:rsid w:val="005F7AFC"/>
    <w:rsid w:val="006000B3"/>
    <w:rsid w:val="00600C85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D48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AD9"/>
    <w:rsid w:val="00666BEA"/>
    <w:rsid w:val="006670C1"/>
    <w:rsid w:val="006671E8"/>
    <w:rsid w:val="00667330"/>
    <w:rsid w:val="00667BF9"/>
    <w:rsid w:val="006707F0"/>
    <w:rsid w:val="00670E6E"/>
    <w:rsid w:val="0067124E"/>
    <w:rsid w:val="00671BCE"/>
    <w:rsid w:val="00672866"/>
    <w:rsid w:val="0067319A"/>
    <w:rsid w:val="006732F7"/>
    <w:rsid w:val="00673764"/>
    <w:rsid w:val="00676268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56A4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7A5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D0CE1"/>
    <w:rsid w:val="006D0D39"/>
    <w:rsid w:val="006D0F0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D85"/>
    <w:rsid w:val="007131A6"/>
    <w:rsid w:val="0071323E"/>
    <w:rsid w:val="00714EA2"/>
    <w:rsid w:val="0071698A"/>
    <w:rsid w:val="00716A5F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734F"/>
    <w:rsid w:val="0074070A"/>
    <w:rsid w:val="00740A1A"/>
    <w:rsid w:val="00741994"/>
    <w:rsid w:val="00741A96"/>
    <w:rsid w:val="007420FC"/>
    <w:rsid w:val="00742658"/>
    <w:rsid w:val="0074280D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2F81"/>
    <w:rsid w:val="00793D18"/>
    <w:rsid w:val="007942AC"/>
    <w:rsid w:val="0079483D"/>
    <w:rsid w:val="0079506E"/>
    <w:rsid w:val="0079515E"/>
    <w:rsid w:val="007958A8"/>
    <w:rsid w:val="007959B9"/>
    <w:rsid w:val="0079603A"/>
    <w:rsid w:val="007962A4"/>
    <w:rsid w:val="00796537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344"/>
    <w:rsid w:val="007B3D5E"/>
    <w:rsid w:val="007B56FD"/>
    <w:rsid w:val="007B607A"/>
    <w:rsid w:val="007B69A0"/>
    <w:rsid w:val="007C0828"/>
    <w:rsid w:val="007C09B7"/>
    <w:rsid w:val="007C0BB1"/>
    <w:rsid w:val="007C0C7B"/>
    <w:rsid w:val="007C1316"/>
    <w:rsid w:val="007C1E1A"/>
    <w:rsid w:val="007C1ECD"/>
    <w:rsid w:val="007C302C"/>
    <w:rsid w:val="007C3E1C"/>
    <w:rsid w:val="007C4D74"/>
    <w:rsid w:val="007C61BD"/>
    <w:rsid w:val="007C6377"/>
    <w:rsid w:val="007C6C1C"/>
    <w:rsid w:val="007C7305"/>
    <w:rsid w:val="007C78CC"/>
    <w:rsid w:val="007C79B5"/>
    <w:rsid w:val="007C7ED9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F011B"/>
    <w:rsid w:val="007F04AC"/>
    <w:rsid w:val="007F0665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703"/>
    <w:rsid w:val="008615D1"/>
    <w:rsid w:val="008627D4"/>
    <w:rsid w:val="00862973"/>
    <w:rsid w:val="00863B68"/>
    <w:rsid w:val="00864355"/>
    <w:rsid w:val="0086454C"/>
    <w:rsid w:val="00864B70"/>
    <w:rsid w:val="00864ED9"/>
    <w:rsid w:val="00865485"/>
    <w:rsid w:val="0086589A"/>
    <w:rsid w:val="0086599A"/>
    <w:rsid w:val="00866BF5"/>
    <w:rsid w:val="00866C3C"/>
    <w:rsid w:val="00866F37"/>
    <w:rsid w:val="00870428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47F"/>
    <w:rsid w:val="00877623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61E4"/>
    <w:rsid w:val="008C642C"/>
    <w:rsid w:val="008C7425"/>
    <w:rsid w:val="008C7C3A"/>
    <w:rsid w:val="008C7CB0"/>
    <w:rsid w:val="008C7D4D"/>
    <w:rsid w:val="008D0116"/>
    <w:rsid w:val="008D0486"/>
    <w:rsid w:val="008D15CA"/>
    <w:rsid w:val="008D1E0F"/>
    <w:rsid w:val="008D265B"/>
    <w:rsid w:val="008D2971"/>
    <w:rsid w:val="008D2ED9"/>
    <w:rsid w:val="008D2EF5"/>
    <w:rsid w:val="008D3072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10364"/>
    <w:rsid w:val="00910445"/>
    <w:rsid w:val="00910DAB"/>
    <w:rsid w:val="00910EB4"/>
    <w:rsid w:val="009112C5"/>
    <w:rsid w:val="009113D2"/>
    <w:rsid w:val="0091210F"/>
    <w:rsid w:val="009121A3"/>
    <w:rsid w:val="009124D0"/>
    <w:rsid w:val="00912621"/>
    <w:rsid w:val="00912C02"/>
    <w:rsid w:val="00912DD7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15D1"/>
    <w:rsid w:val="00921843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CF1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5774"/>
    <w:rsid w:val="0096603A"/>
    <w:rsid w:val="009664A6"/>
    <w:rsid w:val="0096670C"/>
    <w:rsid w:val="00966C2B"/>
    <w:rsid w:val="00967682"/>
    <w:rsid w:val="00967B26"/>
    <w:rsid w:val="0097122C"/>
    <w:rsid w:val="0097159D"/>
    <w:rsid w:val="00971631"/>
    <w:rsid w:val="00971A6E"/>
    <w:rsid w:val="00971D6B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DF"/>
    <w:rsid w:val="009B3927"/>
    <w:rsid w:val="009B3B15"/>
    <w:rsid w:val="009B3D8C"/>
    <w:rsid w:val="009B5639"/>
    <w:rsid w:val="009B5CEE"/>
    <w:rsid w:val="009B5D97"/>
    <w:rsid w:val="009B5F5D"/>
    <w:rsid w:val="009B64C3"/>
    <w:rsid w:val="009B7269"/>
    <w:rsid w:val="009B758A"/>
    <w:rsid w:val="009B7598"/>
    <w:rsid w:val="009C0046"/>
    <w:rsid w:val="009C0055"/>
    <w:rsid w:val="009C009E"/>
    <w:rsid w:val="009C0442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8C4"/>
    <w:rsid w:val="009F5D5E"/>
    <w:rsid w:val="009F60D0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E13"/>
    <w:rsid w:val="00A141CF"/>
    <w:rsid w:val="00A141F5"/>
    <w:rsid w:val="00A143C8"/>
    <w:rsid w:val="00A1455F"/>
    <w:rsid w:val="00A14E4F"/>
    <w:rsid w:val="00A15614"/>
    <w:rsid w:val="00A15E0A"/>
    <w:rsid w:val="00A169B0"/>
    <w:rsid w:val="00A16D99"/>
    <w:rsid w:val="00A172DD"/>
    <w:rsid w:val="00A17508"/>
    <w:rsid w:val="00A17A64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4453"/>
    <w:rsid w:val="00A25076"/>
    <w:rsid w:val="00A25AF6"/>
    <w:rsid w:val="00A262E4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64C3"/>
    <w:rsid w:val="00A3686C"/>
    <w:rsid w:val="00A36F9B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C7E"/>
    <w:rsid w:val="00A6131A"/>
    <w:rsid w:val="00A616ED"/>
    <w:rsid w:val="00A6234A"/>
    <w:rsid w:val="00A623FC"/>
    <w:rsid w:val="00A62438"/>
    <w:rsid w:val="00A634E5"/>
    <w:rsid w:val="00A63DD1"/>
    <w:rsid w:val="00A63FB1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716F"/>
    <w:rsid w:val="00A6760F"/>
    <w:rsid w:val="00A7261D"/>
    <w:rsid w:val="00A72757"/>
    <w:rsid w:val="00A727AE"/>
    <w:rsid w:val="00A72B00"/>
    <w:rsid w:val="00A72CF6"/>
    <w:rsid w:val="00A74B2E"/>
    <w:rsid w:val="00A74C06"/>
    <w:rsid w:val="00A751FF"/>
    <w:rsid w:val="00A753E4"/>
    <w:rsid w:val="00A76142"/>
    <w:rsid w:val="00A7723A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A0C"/>
    <w:rsid w:val="00A9159B"/>
    <w:rsid w:val="00A91994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1D7"/>
    <w:rsid w:val="00AA476F"/>
    <w:rsid w:val="00AA4849"/>
    <w:rsid w:val="00AA4AE9"/>
    <w:rsid w:val="00AA4FC9"/>
    <w:rsid w:val="00AA6B84"/>
    <w:rsid w:val="00AA7691"/>
    <w:rsid w:val="00AA769A"/>
    <w:rsid w:val="00AA776C"/>
    <w:rsid w:val="00AA77AD"/>
    <w:rsid w:val="00AB0B15"/>
    <w:rsid w:val="00AB0B61"/>
    <w:rsid w:val="00AB0E15"/>
    <w:rsid w:val="00AB1044"/>
    <w:rsid w:val="00AB1386"/>
    <w:rsid w:val="00AB1D8D"/>
    <w:rsid w:val="00AB1EE5"/>
    <w:rsid w:val="00AB26FC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246F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C00"/>
    <w:rsid w:val="00B17828"/>
    <w:rsid w:val="00B2050F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6E0"/>
    <w:rsid w:val="00B3288E"/>
    <w:rsid w:val="00B32A00"/>
    <w:rsid w:val="00B32C19"/>
    <w:rsid w:val="00B333F9"/>
    <w:rsid w:val="00B3377C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60E"/>
    <w:rsid w:val="00B554E5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BAD"/>
    <w:rsid w:val="00B91EAC"/>
    <w:rsid w:val="00B92EA8"/>
    <w:rsid w:val="00B934F2"/>
    <w:rsid w:val="00B93A16"/>
    <w:rsid w:val="00B93B9F"/>
    <w:rsid w:val="00B9531E"/>
    <w:rsid w:val="00B958E2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122C"/>
    <w:rsid w:val="00BB14BF"/>
    <w:rsid w:val="00BB3429"/>
    <w:rsid w:val="00BB356F"/>
    <w:rsid w:val="00BB3BE7"/>
    <w:rsid w:val="00BB3D3A"/>
    <w:rsid w:val="00BB3F7A"/>
    <w:rsid w:val="00BB4879"/>
    <w:rsid w:val="00BB5143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3FB"/>
    <w:rsid w:val="00BC6ABE"/>
    <w:rsid w:val="00BC6E3E"/>
    <w:rsid w:val="00BC7A26"/>
    <w:rsid w:val="00BD0220"/>
    <w:rsid w:val="00BD03A0"/>
    <w:rsid w:val="00BD0DA9"/>
    <w:rsid w:val="00BD0DF7"/>
    <w:rsid w:val="00BD0E71"/>
    <w:rsid w:val="00BD194D"/>
    <w:rsid w:val="00BD1D62"/>
    <w:rsid w:val="00BD203F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10B5"/>
    <w:rsid w:val="00BF138B"/>
    <w:rsid w:val="00BF17B5"/>
    <w:rsid w:val="00BF19F3"/>
    <w:rsid w:val="00BF1BB8"/>
    <w:rsid w:val="00BF2289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633B"/>
    <w:rsid w:val="00C26A82"/>
    <w:rsid w:val="00C2791F"/>
    <w:rsid w:val="00C2793B"/>
    <w:rsid w:val="00C300B6"/>
    <w:rsid w:val="00C304D8"/>
    <w:rsid w:val="00C31096"/>
    <w:rsid w:val="00C311D9"/>
    <w:rsid w:val="00C31E88"/>
    <w:rsid w:val="00C31EA4"/>
    <w:rsid w:val="00C3270A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CF4"/>
    <w:rsid w:val="00C37D98"/>
    <w:rsid w:val="00C4188A"/>
    <w:rsid w:val="00C42758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FDB"/>
    <w:rsid w:val="00C5414C"/>
    <w:rsid w:val="00C54EBD"/>
    <w:rsid w:val="00C55982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D30"/>
    <w:rsid w:val="00C734F7"/>
    <w:rsid w:val="00C74115"/>
    <w:rsid w:val="00C7474D"/>
    <w:rsid w:val="00C74912"/>
    <w:rsid w:val="00C756BF"/>
    <w:rsid w:val="00C75E48"/>
    <w:rsid w:val="00C75F70"/>
    <w:rsid w:val="00C76E79"/>
    <w:rsid w:val="00C77529"/>
    <w:rsid w:val="00C778A3"/>
    <w:rsid w:val="00C77B68"/>
    <w:rsid w:val="00C800BA"/>
    <w:rsid w:val="00C80AD4"/>
    <w:rsid w:val="00C80EAE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717"/>
    <w:rsid w:val="00CA0E55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3D4"/>
    <w:rsid w:val="00CC65BD"/>
    <w:rsid w:val="00CC7772"/>
    <w:rsid w:val="00CC7FFA"/>
    <w:rsid w:val="00CD00B1"/>
    <w:rsid w:val="00CD036C"/>
    <w:rsid w:val="00CD0775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3319"/>
    <w:rsid w:val="00CE38CF"/>
    <w:rsid w:val="00CE3F24"/>
    <w:rsid w:val="00CE42ED"/>
    <w:rsid w:val="00CE45A8"/>
    <w:rsid w:val="00CE46F1"/>
    <w:rsid w:val="00CE4B5F"/>
    <w:rsid w:val="00CE4F32"/>
    <w:rsid w:val="00CE55C4"/>
    <w:rsid w:val="00CE5D47"/>
    <w:rsid w:val="00CE606D"/>
    <w:rsid w:val="00CE611E"/>
    <w:rsid w:val="00CE630B"/>
    <w:rsid w:val="00CE6A9D"/>
    <w:rsid w:val="00CE7059"/>
    <w:rsid w:val="00CF0948"/>
    <w:rsid w:val="00CF0C19"/>
    <w:rsid w:val="00CF1D6A"/>
    <w:rsid w:val="00CF2564"/>
    <w:rsid w:val="00CF2851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D2E"/>
    <w:rsid w:val="00D12C91"/>
    <w:rsid w:val="00D12D80"/>
    <w:rsid w:val="00D1363F"/>
    <w:rsid w:val="00D13C9E"/>
    <w:rsid w:val="00D13CB3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BA5"/>
    <w:rsid w:val="00D53FEA"/>
    <w:rsid w:val="00D5424E"/>
    <w:rsid w:val="00D54648"/>
    <w:rsid w:val="00D54A0F"/>
    <w:rsid w:val="00D55103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EA"/>
    <w:rsid w:val="00D62936"/>
    <w:rsid w:val="00D62CA7"/>
    <w:rsid w:val="00D62CE0"/>
    <w:rsid w:val="00D63413"/>
    <w:rsid w:val="00D63625"/>
    <w:rsid w:val="00D63A26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E93"/>
    <w:rsid w:val="00D81EC9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C49"/>
    <w:rsid w:val="00DB5368"/>
    <w:rsid w:val="00DB5BA5"/>
    <w:rsid w:val="00DB5CE5"/>
    <w:rsid w:val="00DB5F01"/>
    <w:rsid w:val="00DB6CA0"/>
    <w:rsid w:val="00DB6FEB"/>
    <w:rsid w:val="00DB7AE9"/>
    <w:rsid w:val="00DB7E0B"/>
    <w:rsid w:val="00DC02C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7516"/>
    <w:rsid w:val="00DC751F"/>
    <w:rsid w:val="00DC7BD5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745A"/>
    <w:rsid w:val="00E578C7"/>
    <w:rsid w:val="00E57D62"/>
    <w:rsid w:val="00E60341"/>
    <w:rsid w:val="00E60445"/>
    <w:rsid w:val="00E60848"/>
    <w:rsid w:val="00E60BB0"/>
    <w:rsid w:val="00E6143A"/>
    <w:rsid w:val="00E6176F"/>
    <w:rsid w:val="00E62140"/>
    <w:rsid w:val="00E6295C"/>
    <w:rsid w:val="00E6487A"/>
    <w:rsid w:val="00E65C83"/>
    <w:rsid w:val="00E6605F"/>
    <w:rsid w:val="00E66060"/>
    <w:rsid w:val="00E66322"/>
    <w:rsid w:val="00E66499"/>
    <w:rsid w:val="00E665DE"/>
    <w:rsid w:val="00E66758"/>
    <w:rsid w:val="00E669E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AD4"/>
    <w:rsid w:val="00E85CD4"/>
    <w:rsid w:val="00E871B9"/>
    <w:rsid w:val="00E87DEE"/>
    <w:rsid w:val="00E906D2"/>
    <w:rsid w:val="00E913FB"/>
    <w:rsid w:val="00E91AF9"/>
    <w:rsid w:val="00E92377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6B64"/>
    <w:rsid w:val="00F17308"/>
    <w:rsid w:val="00F176CE"/>
    <w:rsid w:val="00F17D96"/>
    <w:rsid w:val="00F206FA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D60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53B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706D"/>
    <w:rsid w:val="00FB766C"/>
    <w:rsid w:val="00FC0237"/>
    <w:rsid w:val="00FC058D"/>
    <w:rsid w:val="00FC0826"/>
    <w:rsid w:val="00FC0DF0"/>
    <w:rsid w:val="00FC1277"/>
    <w:rsid w:val="00FC1668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D065B"/>
    <w:rsid w:val="00FD0677"/>
    <w:rsid w:val="00FD07AD"/>
    <w:rsid w:val="00FD26B1"/>
    <w:rsid w:val="00FD2783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7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jana.ded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mailto:miroslav.ilic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lka.ciganovic@rzs.rs.ba" TargetMode="External"/><Relationship Id="rId17" Type="http://schemas.openxmlformats.org/officeDocument/2006/relationships/hyperlink" Target="mailto:mirjana.bandur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yperlink" Target="mailto:sanela.vasiljev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anica.babic@rzs.rs.ba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mailto:dolores.peu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dranka.lubur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005253940455361E-2"/>
          <c:y val="7.434944237918216E-2"/>
          <c:w val="0.89141856392293717"/>
          <c:h val="0.6505576208178435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Просјечнe нето платe / The average net wages</c:v>
                </c:pt>
              </c:strCache>
            </c:strRef>
          </c:tx>
          <c:spPr>
            <a:ln w="25381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789</c:v>
                </c:pt>
                <c:pt idx="1">
                  <c:v>786</c:v>
                </c:pt>
                <c:pt idx="2">
                  <c:v>785</c:v>
                </c:pt>
                <c:pt idx="3">
                  <c:v>794</c:v>
                </c:pt>
                <c:pt idx="4">
                  <c:v>779</c:v>
                </c:pt>
                <c:pt idx="5">
                  <c:v>791</c:v>
                </c:pt>
                <c:pt idx="6">
                  <c:v>798</c:v>
                </c:pt>
                <c:pt idx="7">
                  <c:v>798</c:v>
                </c:pt>
                <c:pt idx="8">
                  <c:v>804</c:v>
                </c:pt>
                <c:pt idx="9">
                  <c:v>807</c:v>
                </c:pt>
                <c:pt idx="10">
                  <c:v>803</c:v>
                </c:pt>
                <c:pt idx="11">
                  <c:v>816</c:v>
                </c:pt>
                <c:pt idx="12">
                  <c:v>817</c:v>
                </c:pt>
              </c:numCache>
            </c:numRef>
          </c:val>
        </c:ser>
        <c:marker val="1"/>
        <c:axId val="33764096"/>
        <c:axId val="33765632"/>
      </c:lineChart>
      <c:catAx>
        <c:axId val="33764096"/>
        <c:scaling>
          <c:orientation val="minMax"/>
        </c:scaling>
        <c:axPos val="b"/>
        <c:majorGridlines>
          <c:spPr>
            <a:ln w="3173">
              <a:solidFill>
                <a:srgbClr val="969696"/>
              </a:solidFill>
              <a:prstDash val="solid"/>
            </a:ln>
          </c:spPr>
        </c:majorGridlines>
        <c:numFmt formatCode="General" sourceLinked="1"/>
        <c:tickLblPos val="low"/>
        <c:spPr>
          <a:ln w="126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33765632"/>
        <c:crossesAt val="100"/>
        <c:auto val="1"/>
        <c:lblAlgn val="ctr"/>
        <c:lblOffset val="100"/>
        <c:tickLblSkip val="1"/>
        <c:tickMarkSkip val="1"/>
      </c:catAx>
      <c:valAx>
        <c:axId val="33765632"/>
        <c:scaling>
          <c:orientation val="minMax"/>
          <c:max val="900"/>
          <c:min val="700"/>
        </c:scaling>
        <c:axPos val="l"/>
        <c:majorGridlines>
          <c:spPr>
            <a:ln w="3173">
              <a:solidFill>
                <a:srgbClr val="969696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33764096"/>
        <c:crosses val="autoZero"/>
        <c:crossBetween val="midCat"/>
        <c:majorUnit val="20"/>
      </c:valAx>
      <c:spPr>
        <a:noFill/>
        <a:ln w="2538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259113708790351"/>
          <c:y val="0.12307692307692857"/>
          <c:w val="0.57281304268941058"/>
          <c:h val="0.7237227568776126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336970</c:v>
                </c:pt>
                <c:pt idx="1">
                  <c:v>363940</c:v>
                </c:pt>
                <c:pt idx="2">
                  <c:v>362025</c:v>
                </c:pt>
                <c:pt idx="3">
                  <c:v>409765</c:v>
                </c:pt>
                <c:pt idx="4">
                  <c:v>336550</c:v>
                </c:pt>
                <c:pt idx="5">
                  <c:v>370462</c:v>
                </c:pt>
                <c:pt idx="6">
                  <c:v>371717</c:v>
                </c:pt>
                <c:pt idx="7">
                  <c:v>282340</c:v>
                </c:pt>
                <c:pt idx="8">
                  <c:v>318159</c:v>
                </c:pt>
                <c:pt idx="9">
                  <c:v>370953</c:v>
                </c:pt>
                <c:pt idx="10">
                  <c:v>344250</c:v>
                </c:pt>
                <c:pt idx="11">
                  <c:v>344718</c:v>
                </c:pt>
                <c:pt idx="12">
                  <c:v>467781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203199</c:v>
                </c:pt>
                <c:pt idx="1">
                  <c:v>210840</c:v>
                </c:pt>
                <c:pt idx="2">
                  <c:v>160234</c:v>
                </c:pt>
                <c:pt idx="3">
                  <c:v>187421</c:v>
                </c:pt>
                <c:pt idx="4">
                  <c:v>180418</c:v>
                </c:pt>
                <c:pt idx="5">
                  <c:v>198072</c:v>
                </c:pt>
                <c:pt idx="6">
                  <c:v>180839</c:v>
                </c:pt>
                <c:pt idx="7">
                  <c:v>175608</c:v>
                </c:pt>
                <c:pt idx="8">
                  <c:v>191390</c:v>
                </c:pt>
                <c:pt idx="9">
                  <c:v>212435</c:v>
                </c:pt>
                <c:pt idx="10">
                  <c:v>213851</c:v>
                </c:pt>
                <c:pt idx="11">
                  <c:v>207627</c:v>
                </c:pt>
                <c:pt idx="12">
                  <c:v>228912</c:v>
                </c:pt>
              </c:numCache>
            </c:numRef>
          </c:val>
        </c:ser>
        <c:marker val="1"/>
        <c:axId val="49614208"/>
        <c:axId val="49624192"/>
      </c:lineChart>
      <c:catAx>
        <c:axId val="49614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99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624192"/>
        <c:crosses val="autoZero"/>
        <c:auto val="1"/>
        <c:lblAlgn val="ctr"/>
        <c:lblOffset val="100"/>
        <c:tickLblSkip val="1"/>
        <c:tickMarkSkip val="1"/>
      </c:catAx>
      <c:valAx>
        <c:axId val="49624192"/>
        <c:scaling>
          <c:orientation val="minMax"/>
          <c:max val="500000"/>
          <c:min val="0"/>
        </c:scaling>
        <c:axPos val="l"/>
        <c:majorGridlines/>
        <c:numFmt formatCode="#\ ##0" sourceLinked="0"/>
        <c:tickLblPos val="nextTo"/>
        <c:txPr>
          <a:bodyPr rot="0" vert="horz"/>
          <a:lstStyle/>
          <a:p>
            <a:pPr>
              <a:defRPr sz="899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614208"/>
        <c:crosses val="autoZero"/>
        <c:crossBetween val="between"/>
        <c:majorUnit val="50000"/>
        <c:minorUnit val="1000"/>
      </c:valAx>
    </c:plotArea>
    <c:legend>
      <c:legendPos val="r"/>
      <c:layout>
        <c:manualLayout>
          <c:xMode val="edge"/>
          <c:yMode val="edge"/>
          <c:x val="0.77983102201991694"/>
          <c:y val="0.11130794364990088"/>
          <c:w val="0.20067873921504817"/>
          <c:h val="0.27598350206224415"/>
        </c:manualLayout>
      </c:layout>
      <c:txPr>
        <a:bodyPr/>
        <a:lstStyle/>
        <a:p>
          <a:pPr>
            <a:defRPr sz="899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0.2840442559030128"/>
          <c:y val="0.20558774191933121"/>
          <c:w val="0.43027644750307431"/>
          <c:h val="0.680876793270076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Предузећа са технолошким иновацијама</c:v>
                </c:pt>
                <c:pt idx="1">
                  <c:v>Предузећа са нетехнолошким иновацијама</c:v>
                </c:pt>
                <c:pt idx="2">
                  <c:v>Предузећа са технолошким и нетехнолошким иновацијама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18.498659517426162</c:v>
                </c:pt>
                <c:pt idx="1">
                  <c:v>28.954423592493214</c:v>
                </c:pt>
                <c:pt idx="2">
                  <c:v>52.546916890080432</c:v>
                </c:pt>
              </c:numCache>
            </c:numRef>
          </c:val>
        </c:ser>
        <c:firstSliceAng val="280"/>
      </c:pieChart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8CB-7330-4957-8016-E7D810EC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2587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18528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36</cp:revision>
  <cp:lastPrinted>2011-07-28T05:51:00Z</cp:lastPrinted>
  <dcterms:created xsi:type="dcterms:W3CDTF">2011-07-20T08:48:00Z</dcterms:created>
  <dcterms:modified xsi:type="dcterms:W3CDTF">2011-07-28T09:49:00Z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