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45"/>
        <w:gridCol w:w="2256"/>
        <w:gridCol w:w="2818"/>
      </w:tblGrid>
      <w:tr w:rsidR="005D5311" w:rsidRPr="00150D48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50D4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150D48">
              <w:rPr>
                <w:rFonts w:ascii="Tahoma" w:hAnsi="Tahoma" w:cs="Tahoma"/>
              </w:rPr>
              <w:br w:type="column"/>
            </w:r>
            <w:r w:rsidRPr="00150D48">
              <w:rPr>
                <w:rFonts w:ascii="Tahoma" w:hAnsi="Tahoma" w:cs="Tahoma"/>
              </w:rPr>
              <w:br w:type="column"/>
            </w:r>
            <w:r w:rsidRPr="00150D48">
              <w:rPr>
                <w:rFonts w:ascii="Tahoma" w:hAnsi="Tahoma" w:cs="Tahoma"/>
              </w:rPr>
              <w:br w:type="page"/>
            </w:r>
            <w:r w:rsidRPr="00150D48">
              <w:rPr>
                <w:rFonts w:ascii="Tahoma" w:hAnsi="Tahoma" w:cs="Tahoma"/>
              </w:rPr>
              <w:br w:type="page"/>
            </w:r>
            <w:r w:rsidR="008B47D1" w:rsidRPr="00150D4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150D4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50D4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50D4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765234" w:rsidRDefault="005D5311" w:rsidP="008C133D">
            <w:pPr>
              <w:ind w:left="113"/>
              <w:jc w:val="right"/>
              <w:outlineLvl w:val="0"/>
              <w:rPr>
                <w:rFonts w:ascii="Tahoma" w:hAnsi="Tahoma" w:cs="Tahoma"/>
                <w:color w:val="365F91" w:themeColor="accent1" w:themeShade="BF"/>
                <w:sz w:val="16"/>
                <w:lang w:val="bs-Latn-BA"/>
              </w:rPr>
            </w:pP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>[</w:t>
            </w:r>
            <w:r w:rsidR="009B294C" w:rsidRPr="00765234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>2</w:t>
            </w:r>
            <w:r w:rsidR="00AB7277" w:rsidRPr="00765234">
              <w:rPr>
                <w:rFonts w:ascii="Tahoma" w:hAnsi="Tahoma" w:cs="Tahoma"/>
                <w:color w:val="365F91" w:themeColor="accent1" w:themeShade="BF"/>
                <w:sz w:val="16"/>
              </w:rPr>
              <w:t>8</w:t>
            </w: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 xml:space="preserve">. </w:t>
            </w:r>
            <w:r w:rsidR="0044669C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>decem</w:t>
            </w:r>
            <w:r w:rsidR="0044669C">
              <w:rPr>
                <w:rFonts w:ascii="Tahoma" w:hAnsi="Tahoma" w:cs="Tahoma"/>
                <w:color w:val="365F91" w:themeColor="accent1" w:themeShade="BF"/>
                <w:sz w:val="16"/>
                <w:lang w:val="sr-Cyrl-CS"/>
              </w:rPr>
              <w:t>bar</w:t>
            </w: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 xml:space="preserve"> </w:t>
            </w: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 xml:space="preserve">2011.]  </w:t>
            </w:r>
            <w:r w:rsidR="005D400E"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1</w:t>
            </w:r>
            <w:r w:rsidR="008C133D"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2</w:t>
            </w:r>
            <w:r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/1</w:t>
            </w:r>
            <w:r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150D48" w:rsidTr="008B47D1">
        <w:trPr>
          <w:cantSplit/>
        </w:trPr>
        <w:tc>
          <w:tcPr>
            <w:tcW w:w="5385" w:type="dxa"/>
            <w:vAlign w:val="center"/>
          </w:tcPr>
          <w:p w:rsidR="005D5311" w:rsidRPr="00150D4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150D4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50D4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150D4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765234" w:rsidRDefault="0044669C" w:rsidP="008C133D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decembar</w:t>
            </w:r>
            <w:r w:rsidR="007E158B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2011</w:t>
            </w:r>
            <w:r w:rsidR="002F5E38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150D48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765234" w:rsidRDefault="0044669C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765234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765234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150D48" w:rsidRDefault="00B07584" w:rsidP="009215D1">
      <w:pPr>
        <w:spacing w:line="360" w:lineRule="auto"/>
        <w:jc w:val="both"/>
        <w:rPr>
          <w:lang w:val="sr-Cyrl-BA"/>
        </w:rPr>
      </w:pPr>
    </w:p>
    <w:p w:rsidR="00027772" w:rsidRPr="00150D48" w:rsidRDefault="0044669C" w:rsidP="00804458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  <w:lang w:val="sr-Cyrl-CS" w:eastAsia="sr-Latn-BA"/>
        </w:rPr>
      </w:pP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R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>e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alni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rast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tromjesečnog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bruto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domaćeg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proizvoda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0,</w:t>
      </w:r>
      <w:r w:rsidR="00027772" w:rsidRPr="00150D48">
        <w:rPr>
          <w:rFonts w:ascii="Tahoma" w:hAnsi="Tahoma" w:cs="Tahoma"/>
          <w:b/>
          <w:bCs/>
          <w:sz w:val="28"/>
          <w:szCs w:val="28"/>
          <w:lang w:eastAsia="sr-Latn-BA"/>
        </w:rPr>
        <w:t>6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  <w:r>
        <w:rPr>
          <w:rFonts w:ascii="Tahoma" w:hAnsi="Tahoma" w:cs="Tahoma"/>
          <w:b/>
          <w:bCs/>
          <w:sz w:val="28"/>
          <w:szCs w:val="28"/>
          <w:lang w:val="sr-Cyrl-CS" w:eastAsia="sr-Latn-BA"/>
        </w:rPr>
        <w:t>za</w:t>
      </w:r>
      <w:r w:rsidR="00027772"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Cyrl-CS" w:eastAsia="sr-Latn-BA"/>
        </w:rPr>
        <w:t>period</w:t>
      </w:r>
    </w:p>
    <w:p w:rsidR="00027772" w:rsidRPr="00150D48" w:rsidRDefault="00027772" w:rsidP="0002777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>(I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II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44669C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201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1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/II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I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44669C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10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027772" w:rsidRPr="00150D48" w:rsidRDefault="00027772" w:rsidP="0002777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027772" w:rsidRPr="00150D48" w:rsidRDefault="0044669C" w:rsidP="0002777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Tromjesečni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bruto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domaći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proizvod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realno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veći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  <w:lang w:eastAsia="sr-Latn-BA"/>
        </w:rPr>
        <w:t>0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>,</w:t>
      </w:r>
      <w:r w:rsidR="00027772" w:rsidRPr="00150D48">
        <w:rPr>
          <w:rFonts w:ascii="Tahoma" w:hAnsi="Tahoma" w:cs="Tahoma"/>
          <w:sz w:val="18"/>
          <w:szCs w:val="18"/>
          <w:lang w:eastAsia="sr-Latn-BA"/>
        </w:rPr>
        <w:t>6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%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trećem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201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treće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20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>10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proofErr w:type="gramStart"/>
      <w:r>
        <w:rPr>
          <w:rFonts w:ascii="Tahoma" w:hAnsi="Tahoma" w:cs="Tahoma"/>
          <w:sz w:val="18"/>
          <w:szCs w:val="18"/>
          <w:lang w:eastAsia="sr-Latn-BA"/>
        </w:rPr>
        <w:t>g</w:t>
      </w:r>
      <w:r>
        <w:rPr>
          <w:rFonts w:ascii="Tahoma" w:hAnsi="Tahoma" w:cs="Tahoma"/>
          <w:sz w:val="18"/>
          <w:szCs w:val="18"/>
          <w:lang w:val="sr-Latn-BA" w:eastAsia="sr-Latn-BA"/>
        </w:rPr>
        <w:t>odine</w:t>
      </w:r>
      <w:proofErr w:type="gramEnd"/>
      <w:r w:rsidR="00027772" w:rsidRPr="00150D48">
        <w:rPr>
          <w:rFonts w:ascii="Tahoma" w:hAnsi="Tahoma" w:cs="Tahoma"/>
          <w:sz w:val="18"/>
          <w:szCs w:val="18"/>
          <w:lang w:eastAsia="sr-Latn-BA"/>
        </w:rPr>
        <w:t>.</w:t>
      </w:r>
    </w:p>
    <w:p w:rsidR="00027772" w:rsidRPr="00150D48" w:rsidRDefault="00027772" w:rsidP="0002777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Latn-BA" w:eastAsia="sr-Latn-BA"/>
        </w:rPr>
      </w:pPr>
    </w:p>
    <w:p w:rsidR="00027772" w:rsidRPr="00150D48" w:rsidRDefault="0044669C" w:rsidP="0080445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Posmatrano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Klasifikacije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djelatnosti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sr-Latn-BA"/>
        </w:rPr>
        <w:t>najveći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realni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rast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vrijednosti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ostvaren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je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gasom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vodo</w:t>
      </w:r>
      <w:r>
        <w:rPr>
          <w:rFonts w:ascii="Tahoma" w:hAnsi="Tahoma" w:cs="Tahoma"/>
          <w:i/>
          <w:sz w:val="18"/>
          <w:szCs w:val="18"/>
        </w:rPr>
        <w:t>m</w:t>
      </w:r>
      <w:r w:rsidR="00027772" w:rsidRPr="00150D4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26,6%,</w:t>
      </w:r>
      <w:r w:rsidR="00027772" w:rsidRPr="00150D4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Vađenje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ruda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kamena</w:t>
      </w:r>
      <w:r w:rsidR="00027772" w:rsidRPr="00150D48">
        <w:rPr>
          <w:rFonts w:ascii="Tahoma" w:hAnsi="Tahoma" w:cs="Tahoma"/>
          <w:sz w:val="18"/>
          <w:szCs w:val="18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</w:rPr>
        <w:t>za</w:t>
      </w:r>
      <w:r w:rsidR="00027772" w:rsidRPr="00150D48">
        <w:rPr>
          <w:rFonts w:ascii="Tahoma" w:hAnsi="Tahoma" w:cs="Tahoma"/>
          <w:sz w:val="18"/>
          <w:szCs w:val="18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25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>,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ru-RU"/>
        </w:rPr>
        <w:t>Finansijsko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posredovanje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>,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>%</w:t>
      </w:r>
      <w:r w:rsidR="00027772" w:rsidRPr="00150D48">
        <w:rPr>
          <w:rFonts w:ascii="Tahoma" w:hAnsi="Tahoma" w:cs="Tahoma"/>
          <w:sz w:val="18"/>
          <w:szCs w:val="18"/>
        </w:rPr>
        <w:t>,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Saobraćaj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skladištenje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komunikacije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</w:rPr>
        <w:t>3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>,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027772" w:rsidRPr="00150D48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2,5%,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dok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manja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>: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Građevinarstvo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14,7%, </w:t>
      </w:r>
      <w:r>
        <w:rPr>
          <w:rFonts w:ascii="Tahoma" w:hAnsi="Tahoma" w:cs="Tahoma"/>
          <w:i/>
          <w:sz w:val="18"/>
          <w:szCs w:val="18"/>
          <w:lang w:val="ru-RU"/>
        </w:rPr>
        <w:t>Poljoprivreda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>,</w:t>
      </w:r>
      <w:r w:rsidR="00027772" w:rsidRPr="00150D48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lov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šumarstvo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4,6%,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3,2%,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027772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  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>,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027772"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0,4%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Državna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uprava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>
        <w:rPr>
          <w:rFonts w:ascii="Tahoma" w:hAnsi="Tahoma" w:cs="Tahoma"/>
          <w:i/>
          <w:sz w:val="18"/>
          <w:szCs w:val="18"/>
          <w:lang w:val="sr-Cyrl-CS"/>
        </w:rPr>
        <w:t>odbrana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obavezno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socijalno</w:t>
      </w:r>
      <w:r w:rsidR="00027772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osiguranje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Cyrl-CS"/>
        </w:rPr>
        <w:t xml:space="preserve"> 0,2%.</w:t>
      </w:r>
    </w:p>
    <w:p w:rsidR="00027772" w:rsidRPr="00150D48" w:rsidRDefault="00027772" w:rsidP="00027772">
      <w:pPr>
        <w:jc w:val="both"/>
        <w:rPr>
          <w:rFonts w:ascii="Tahoma" w:hAnsi="Tahoma" w:cs="Tahoma"/>
          <w:lang w:val="sr-Cyrl-CS"/>
        </w:rPr>
      </w:pPr>
    </w:p>
    <w:p w:rsidR="00027772" w:rsidRPr="00150D48" w:rsidRDefault="0044669C" w:rsidP="0002777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zemljama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iz</w:t>
      </w:r>
      <w:r w:rsidR="00027772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okruženja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zabilježene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su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sljedeće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domaćeg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proizvoda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za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treće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2011.</w:t>
      </w:r>
      <w:r w:rsidR="009F59A8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u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odnosu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na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isto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2010.</w:t>
      </w:r>
      <w:r w:rsidR="009F59A8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to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: </w:t>
      </w:r>
      <w:r>
        <w:rPr>
          <w:rFonts w:ascii="Tahoma" w:hAnsi="Tahoma" w:cs="Tahoma"/>
          <w:sz w:val="18"/>
          <w:szCs w:val="18"/>
          <w:lang w:val="sr-Cyrl-CS" w:eastAsia="sr-Latn-BA"/>
        </w:rPr>
        <w:t>Makedonija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027772" w:rsidRPr="00150D48">
        <w:rPr>
          <w:rFonts w:ascii="Tahoma" w:hAnsi="Tahoma" w:cs="Tahoma"/>
          <w:sz w:val="18"/>
          <w:szCs w:val="18"/>
          <w:lang w:eastAsia="sr-Latn-BA"/>
        </w:rPr>
        <w:t>2,3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%, </w:t>
      </w:r>
      <w:r>
        <w:rPr>
          <w:rFonts w:ascii="Tahoma" w:hAnsi="Tahoma" w:cs="Tahoma"/>
          <w:sz w:val="18"/>
          <w:szCs w:val="18"/>
          <w:lang w:val="sr-Cyrl-CS" w:eastAsia="sr-Latn-BA"/>
        </w:rPr>
        <w:t>Srbija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0,7%, </w:t>
      </w:r>
      <w:r>
        <w:rPr>
          <w:rFonts w:ascii="Tahoma" w:hAnsi="Tahoma" w:cs="Tahoma"/>
          <w:sz w:val="18"/>
          <w:szCs w:val="18"/>
          <w:lang w:val="sr-Cyrl-CS" w:eastAsia="sr-Latn-BA"/>
        </w:rPr>
        <w:t>Hrvatska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0,7%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 </w:t>
      </w:r>
      <w:r>
        <w:rPr>
          <w:rFonts w:ascii="Tahoma" w:hAnsi="Tahoma" w:cs="Tahoma"/>
          <w:sz w:val="18"/>
          <w:szCs w:val="18"/>
          <w:lang w:val="sr-Cyrl-CS" w:eastAsia="sr-Latn-BA"/>
        </w:rPr>
        <w:t>Slovenija</w:t>
      </w:r>
      <w:r w:rsidR="00027772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(-0,5%). </w:t>
      </w:r>
    </w:p>
    <w:p w:rsidR="00027772" w:rsidRPr="00150D48" w:rsidRDefault="00027772" w:rsidP="00027772">
      <w:pPr>
        <w:rPr>
          <w:rFonts w:ascii="Tahoma" w:hAnsi="Tahoma" w:cs="Tahoma"/>
          <w:lang w:val="sr-Cyrl-CS"/>
        </w:rPr>
      </w:pPr>
    </w:p>
    <w:p w:rsidR="00027772" w:rsidRPr="00150D48" w:rsidRDefault="00027772" w:rsidP="00027772">
      <w:pPr>
        <w:rPr>
          <w:rFonts w:ascii="Tahoma" w:hAnsi="Tahoma" w:cs="Tahoma"/>
          <w:lang w:val="sr-Cyrl-CS"/>
        </w:rPr>
      </w:pPr>
    </w:p>
    <w:p w:rsidR="00027772" w:rsidRPr="00150D48" w:rsidRDefault="00027772" w:rsidP="00027772">
      <w:pPr>
        <w:rPr>
          <w:rFonts w:ascii="Tahoma" w:hAnsi="Tahoma" w:cs="Tahoma"/>
          <w:lang w:val="sr-Cyrl-CS"/>
        </w:rPr>
      </w:pPr>
      <w:r w:rsidRPr="00150D48">
        <w:rPr>
          <w:rFonts w:ascii="Tahoma" w:hAnsi="Tahoma" w:cs="Tahoma"/>
          <w:lang w:val="sr-Cyrl-CS"/>
        </w:rPr>
        <w:tab/>
      </w:r>
    </w:p>
    <w:p w:rsidR="00027772" w:rsidRPr="00150D48" w:rsidRDefault="00027772" w:rsidP="00027772">
      <w:pPr>
        <w:tabs>
          <w:tab w:val="left" w:pos="1985"/>
        </w:tabs>
        <w:rPr>
          <w:rFonts w:ascii="Tahoma" w:hAnsi="Tahoma" w:cs="Tahoma"/>
          <w:lang w:val="sr-Cyrl-CS"/>
        </w:rPr>
      </w:pPr>
    </w:p>
    <w:tbl>
      <w:tblPr>
        <w:tblW w:w="9422" w:type="dxa"/>
        <w:tblInd w:w="108" w:type="dxa"/>
        <w:tblLook w:val="04A0"/>
      </w:tblPr>
      <w:tblGrid>
        <w:gridCol w:w="1505"/>
        <w:gridCol w:w="7917"/>
      </w:tblGrid>
      <w:tr w:rsidR="00E92C59" w:rsidRPr="00150D48" w:rsidTr="00E92C59">
        <w:trPr>
          <w:trHeight w:val="242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59" w:rsidRPr="00150D48" w:rsidRDefault="00E92C59" w:rsidP="0006677A">
            <w:pPr>
              <w:rPr>
                <w:rFonts w:ascii="Calibri" w:hAnsi="Calibri"/>
                <w:sz w:val="22"/>
                <w:szCs w:val="22"/>
                <w:lang w:val="sr-Latn-BA" w:eastAsia="sr-Latn-BA"/>
              </w:rPr>
            </w:pPr>
          </w:p>
        </w:tc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59" w:rsidRPr="00150D48" w:rsidRDefault="00E92C59" w:rsidP="0006677A">
            <w:pPr>
              <w:rPr>
                <w:rFonts w:ascii="Calibri" w:hAnsi="Calibri"/>
                <w:sz w:val="18"/>
                <w:szCs w:val="18"/>
                <w:lang w:val="sr-Cyrl-CS" w:eastAsia="sr-Latn-BA"/>
              </w:rPr>
            </w:pPr>
            <w:r w:rsidRPr="00150D48"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>
                  <wp:extent cx="4890135" cy="2926080"/>
                  <wp:effectExtent l="0" t="0" r="0" b="0"/>
                  <wp:docPr id="1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FB6D41" w:rsidRPr="00150D48" w:rsidRDefault="00FB6D41" w:rsidP="00AB7277">
      <w:pPr>
        <w:rPr>
          <w:rFonts w:ascii="Tahoma" w:hAnsi="Tahoma" w:cs="Tahoma"/>
          <w:sz w:val="24"/>
          <w:szCs w:val="24"/>
        </w:rPr>
      </w:pPr>
    </w:p>
    <w:p w:rsidR="00E92C59" w:rsidRPr="00150D48" w:rsidRDefault="0044669C" w:rsidP="00E92C59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sz w:val="18"/>
          <w:szCs w:val="18"/>
          <w:lang w:val="sr-Cyrl-CS" w:eastAsia="sr-Latn-BA"/>
        </w:rPr>
        <w:t>Grafikon</w:t>
      </w:r>
      <w:r w:rsidR="00E92C59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1</w:t>
      </w:r>
      <w:r w:rsidR="00E92C59" w:rsidRPr="00150D48">
        <w:rPr>
          <w:rFonts w:ascii="Calibri" w:hAnsi="Calibri"/>
          <w:sz w:val="18"/>
          <w:szCs w:val="18"/>
          <w:lang w:eastAsia="sr-Latn-BA"/>
        </w:rPr>
        <w:t>.</w:t>
      </w:r>
      <w:r w:rsidR="00E92C59" w:rsidRPr="00150D48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Stope</w:t>
      </w:r>
      <w:r w:rsidR="00E92C59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E92C59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E92C59" w:rsidRPr="00150D48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eastAsia="sr-Latn-BA"/>
        </w:rPr>
        <w:t>BDP</w:t>
      </w:r>
      <w:r w:rsidR="00E92C59" w:rsidRPr="00150D48">
        <w:rPr>
          <w:rFonts w:ascii="Tahoma" w:hAnsi="Tahoma" w:cs="Tahoma"/>
          <w:sz w:val="18"/>
          <w:szCs w:val="18"/>
          <w:lang w:eastAsia="sr-Latn-BA"/>
        </w:rPr>
        <w:t>,</w:t>
      </w:r>
      <w:r w:rsidR="00E92C59"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</w:t>
      </w:r>
      <w:r>
        <w:rPr>
          <w:rFonts w:ascii="Tahoma" w:hAnsi="Tahoma" w:cs="Tahoma"/>
          <w:sz w:val="18"/>
          <w:szCs w:val="18"/>
          <w:lang w:val="sr-Latn-BA" w:eastAsia="sr-Latn-BA"/>
        </w:rPr>
        <w:t>romjene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isto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prethodne</w:t>
      </w:r>
      <w:r w:rsidR="00E92C59"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</w:p>
    <w:p w:rsidR="00DC3BA1" w:rsidRPr="00150D48" w:rsidRDefault="00DC3BA1" w:rsidP="00AB7277">
      <w:pPr>
        <w:rPr>
          <w:rFonts w:ascii="Tahoma" w:hAnsi="Tahoma" w:cs="Tahoma"/>
          <w:sz w:val="24"/>
          <w:szCs w:val="24"/>
        </w:rPr>
      </w:pPr>
    </w:p>
    <w:p w:rsidR="00DC3BA1" w:rsidRPr="00150D48" w:rsidRDefault="00DC3BA1" w:rsidP="006E3A3E">
      <w:pPr>
        <w:ind w:left="-142"/>
        <w:rPr>
          <w:rFonts w:ascii="Tahoma" w:hAnsi="Tahoma" w:cs="Tahoma"/>
          <w:sz w:val="24"/>
          <w:szCs w:val="24"/>
        </w:rPr>
      </w:pPr>
    </w:p>
    <w:p w:rsidR="00DC3BA1" w:rsidRPr="00150D48" w:rsidRDefault="00DC3BA1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FB6D41" w:rsidRPr="00150D48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5E0301" w:rsidRPr="00150D48" w:rsidRDefault="0044669C" w:rsidP="009B294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C6075B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6075B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6075B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C6075B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novembru</w:t>
      </w:r>
      <w:r w:rsidR="0032304A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150D48">
        <w:rPr>
          <w:rFonts w:ascii="Tahoma" w:hAnsi="Tahoma" w:cs="Tahoma"/>
          <w:b/>
          <w:sz w:val="28"/>
          <w:szCs w:val="28"/>
          <w:lang w:val="sr-Cyrl-CS"/>
        </w:rPr>
        <w:t>8</w:t>
      </w:r>
      <w:r w:rsidR="0006677A" w:rsidRPr="00150D48">
        <w:rPr>
          <w:rFonts w:ascii="Tahoma" w:hAnsi="Tahoma" w:cs="Tahoma"/>
          <w:b/>
          <w:sz w:val="28"/>
          <w:szCs w:val="28"/>
          <w:lang w:val="sr-Cyrl-CS"/>
        </w:rPr>
        <w:t>13</w:t>
      </w:r>
      <w:r w:rsidR="000668D4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0301" w:rsidRPr="00150D48" w:rsidRDefault="0044669C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0301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0301" w:rsidRPr="00150D48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61F72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150D48">
        <w:rPr>
          <w:rFonts w:ascii="Tahoma" w:hAnsi="Tahoma" w:cs="Tahoma"/>
          <w:sz w:val="24"/>
          <w:szCs w:val="24"/>
          <w:lang w:val="sr-Cyrl-CS"/>
        </w:rPr>
        <w:t>2</w:t>
      </w:r>
      <w:r w:rsidR="00DE329F" w:rsidRPr="00150D48">
        <w:rPr>
          <w:rFonts w:ascii="Tahoma" w:hAnsi="Tahoma" w:cs="Tahoma"/>
          <w:sz w:val="24"/>
          <w:szCs w:val="24"/>
          <w:lang w:val="sr-Cyrl-CS"/>
        </w:rPr>
        <w:t>3</w:t>
      </w:r>
      <w:r w:rsidR="0006677A" w:rsidRPr="00150D48">
        <w:rPr>
          <w:rFonts w:ascii="Tahoma" w:hAnsi="Tahoma" w:cs="Tahoma"/>
          <w:sz w:val="24"/>
          <w:szCs w:val="24"/>
          <w:lang w:val="sr-Cyrl-CS"/>
        </w:rPr>
        <w:t>5</w:t>
      </w:r>
      <w:r w:rsidR="00B61F72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0301" w:rsidRPr="00150D48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0301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0301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0301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DE329F" w:rsidRPr="00150D48">
        <w:rPr>
          <w:rFonts w:ascii="Tahoma" w:hAnsi="Tahoma" w:cs="Tahoma"/>
          <w:sz w:val="24"/>
          <w:szCs w:val="24"/>
          <w:lang w:val="sr-Cyrl-CS"/>
        </w:rPr>
        <w:t xml:space="preserve"> 5</w:t>
      </w:r>
      <w:r w:rsidR="0006677A" w:rsidRPr="00150D48">
        <w:rPr>
          <w:rFonts w:ascii="Tahoma" w:hAnsi="Tahoma" w:cs="Tahoma"/>
          <w:sz w:val="24"/>
          <w:szCs w:val="24"/>
          <w:lang w:val="sr-Cyrl-CS"/>
        </w:rPr>
        <w:t>52</w:t>
      </w:r>
      <w:r w:rsidR="0032304A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0301" w:rsidRPr="00150D48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150D48" w:rsidRDefault="0044669C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FF2825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FF2825" w:rsidRPr="00150D4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FF2825" w:rsidRPr="00150D4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FF2825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FF2825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FF282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FF2825" w:rsidRPr="00150D4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8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13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150D48">
        <w:rPr>
          <w:rFonts w:ascii="Tahoma" w:hAnsi="Tahoma" w:cs="Tahoma"/>
          <w:sz w:val="18"/>
          <w:szCs w:val="18"/>
          <w:lang w:val="hr-HR"/>
        </w:rPr>
        <w:t>,</w:t>
      </w:r>
      <w:r w:rsidR="00FF282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FF282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FF282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1 3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41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FF2825" w:rsidRPr="00150D4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F2825" w:rsidRPr="00150D48" w:rsidRDefault="0044669C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novembar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808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1 32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. 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prošle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porasla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nominalno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3,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3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ali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BA"/>
        </w:rPr>
        <w:t xml:space="preserve"> 0,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6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>%.</w:t>
      </w:r>
    </w:p>
    <w:p w:rsidR="00FF2825" w:rsidRPr="00150D4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150D48" w:rsidRDefault="0044669C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1,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0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7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D4A09">
        <w:rPr>
          <w:rFonts w:ascii="Tahoma" w:hAnsi="Tahoma" w:cs="Tahoma"/>
          <w:sz w:val="18"/>
          <w:szCs w:val="18"/>
        </w:rPr>
        <w:t>2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,8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BD4A09">
        <w:rPr>
          <w:rFonts w:ascii="Tahoma" w:hAnsi="Tahoma" w:cs="Tahoma"/>
          <w:sz w:val="18"/>
          <w:szCs w:val="18"/>
          <w:lang w:val="sr-Cyrl-CS"/>
        </w:rPr>
        <w:t>,</w:t>
      </w:r>
      <w:r w:rsidR="00BD4A09">
        <w:rPr>
          <w:rFonts w:ascii="Tahoma" w:hAnsi="Tahoma" w:cs="Tahoma"/>
          <w:sz w:val="18"/>
          <w:szCs w:val="18"/>
        </w:rPr>
        <w:t>3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150D48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150D48" w:rsidRDefault="0044669C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150D48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0301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0301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351BFE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5</w:t>
      </w:r>
      <w:r w:rsidR="00C03F53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351BF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5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52</w:t>
      </w:r>
      <w:r w:rsidR="00C36EC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89681F" w:rsidRPr="00150D48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150D48" w:rsidRDefault="0044669C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7B317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B317B" w:rsidRPr="00150D48">
        <w:rPr>
          <w:rFonts w:ascii="Tahoma" w:hAnsi="Tahoma" w:cs="Tahoma"/>
          <w:sz w:val="18"/>
          <w:szCs w:val="18"/>
          <w:lang w:val="ru-RU"/>
        </w:rPr>
        <w:t xml:space="preserve">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7B317B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BE3F1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E3F1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51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F4528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150D48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150D48">
        <w:rPr>
          <w:rFonts w:ascii="Tahoma" w:hAnsi="Tahoma" w:cs="Tahoma"/>
          <w:sz w:val="18"/>
          <w:szCs w:val="18"/>
          <w:lang w:val="ru-RU"/>
        </w:rPr>
        <w:t>.</w:t>
      </w:r>
      <w:r w:rsidR="003E412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E412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E3F1D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0301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>3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>7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>%</w:t>
      </w:r>
      <w:r w:rsidR="00DE329F" w:rsidRPr="00150D48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,7%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Saobraćaj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skladištenje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komunikacije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>1,6%,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138D6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6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3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>%,</w:t>
      </w:r>
      <w:r w:rsidR="005138D6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2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7</w:t>
      </w:r>
      <w:r w:rsidR="00526A94" w:rsidRPr="00150D48">
        <w:rPr>
          <w:rFonts w:ascii="Tahoma" w:hAnsi="Tahoma" w:cs="Tahoma"/>
          <w:i/>
          <w:sz w:val="18"/>
          <w:szCs w:val="18"/>
          <w:lang w:val="sr-Cyrl-CS"/>
        </w:rPr>
        <w:t>%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329F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Proizvodnja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snabdijevanje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električnom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energijom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gasom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vodom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1,9%.</w:t>
      </w:r>
    </w:p>
    <w:p w:rsidR="00565FA3" w:rsidRPr="00150D48" w:rsidRDefault="00565FA3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</w:p>
    <w:p w:rsidR="00CD0CCB" w:rsidRPr="00150D48" w:rsidRDefault="00C02566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701485" cy="2782957"/>
            <wp:effectExtent l="19050" t="0" r="3865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F3A1D" w:rsidRPr="007F3A1D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1.45pt;margin-top:2.45pt;width:41.05pt;height:26.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5F1C68" w:rsidRPr="0078288A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CD0CCB" w:rsidRPr="00150D48" w:rsidRDefault="007F3A1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7F3A1D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216.8pt;margin-top:.85pt;width:50.4pt;height:17.6pt;z-index:251669504;mso-height-percent:200;mso-height-percent:200;mso-width-relative:margin;mso-height-relative:margin" strokecolor="white [3212]">
            <v:textbox style="mso-fit-shape-to-text:t">
              <w:txbxContent>
                <w:p w:rsidR="005F1C68" w:rsidRPr="0029071F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Pr="007F3A1D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98.65pt;margin-top:.4pt;width:41.3pt;height:19.45pt;z-index:251667456;mso-height-percent:200;mso-height-percent:200;mso-width-relative:margin;mso-height-relative:margin" strokecolor="white [3212]">
            <v:textbox style="mso-next-textbox:#_x0000_s1074;mso-fit-shape-to-text:t">
              <w:txbxContent>
                <w:p w:rsidR="005F1C68" w:rsidRPr="0029071F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</w:p>
    <w:p w:rsidR="00CD0CCB" w:rsidRPr="00150D48" w:rsidRDefault="00CD0CC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150D48" w:rsidRDefault="00BF2682" w:rsidP="00BF2682">
      <w:pPr>
        <w:ind w:left="-142"/>
        <w:outlineLvl w:val="0"/>
        <w:rPr>
          <w:rFonts w:ascii="Tahoma" w:hAnsi="Tahoma" w:cs="Tahoma"/>
          <w:sz w:val="16"/>
        </w:rPr>
      </w:pPr>
      <w:r w:rsidRPr="00150D48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44669C">
        <w:rPr>
          <w:rFonts w:ascii="Tahoma" w:hAnsi="Tahoma" w:cs="Tahoma"/>
          <w:sz w:val="16"/>
          <w:szCs w:val="16"/>
          <w:lang w:val="sr-Cyrl-BA"/>
        </w:rPr>
        <w:t>Grafikon</w:t>
      </w:r>
      <w:r w:rsidR="000328B8" w:rsidRPr="00150D48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765234">
        <w:rPr>
          <w:rFonts w:ascii="Tahoma" w:hAnsi="Tahoma" w:cs="Tahoma"/>
          <w:sz w:val="16"/>
          <w:szCs w:val="16"/>
        </w:rPr>
        <w:t>2</w:t>
      </w:r>
      <w:r w:rsidR="005E0301" w:rsidRPr="00150D48">
        <w:rPr>
          <w:rFonts w:ascii="Tahoma" w:hAnsi="Tahoma" w:cs="Tahoma"/>
          <w:sz w:val="16"/>
          <w:szCs w:val="16"/>
          <w:lang w:val="ru-RU"/>
        </w:rPr>
        <w:t>.</w:t>
      </w:r>
      <w:r w:rsidR="005E0301" w:rsidRPr="00150D48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44669C">
        <w:rPr>
          <w:rFonts w:ascii="Tahoma" w:hAnsi="Tahoma" w:cs="Tahoma"/>
          <w:sz w:val="16"/>
          <w:lang w:val="sr-Cyrl-CS"/>
        </w:rPr>
        <w:t>P</w:t>
      </w:r>
      <w:r w:rsidR="0044669C">
        <w:rPr>
          <w:rFonts w:ascii="Tahoma" w:hAnsi="Tahoma" w:cs="Tahoma"/>
          <w:sz w:val="16"/>
          <w:lang w:val="ru-RU"/>
        </w:rPr>
        <w:t>rosječn</w:t>
      </w:r>
      <w:r w:rsidR="005E0301" w:rsidRPr="00150D48">
        <w:rPr>
          <w:rFonts w:ascii="Tahoma" w:hAnsi="Tahoma" w:cs="Tahoma"/>
          <w:sz w:val="16"/>
        </w:rPr>
        <w:t>e</w:t>
      </w:r>
      <w:r w:rsidR="005E0301" w:rsidRPr="00150D48">
        <w:rPr>
          <w:rFonts w:ascii="Tahoma" w:hAnsi="Tahoma" w:cs="Tahoma"/>
          <w:sz w:val="16"/>
          <w:lang w:val="ru-RU"/>
        </w:rPr>
        <w:t xml:space="preserve"> </w:t>
      </w:r>
      <w:r w:rsidR="0044669C">
        <w:rPr>
          <w:rFonts w:ascii="Tahoma" w:hAnsi="Tahoma" w:cs="Tahoma"/>
          <w:sz w:val="16"/>
          <w:lang w:val="ru-RU"/>
        </w:rPr>
        <w:t>neto</w:t>
      </w:r>
      <w:r w:rsidR="005E0301" w:rsidRPr="00150D48">
        <w:rPr>
          <w:rFonts w:ascii="Tahoma" w:hAnsi="Tahoma" w:cs="Tahoma"/>
          <w:sz w:val="16"/>
          <w:lang w:val="ru-RU"/>
        </w:rPr>
        <w:t xml:space="preserve"> </w:t>
      </w:r>
      <w:r w:rsidR="0044669C">
        <w:rPr>
          <w:rFonts w:ascii="Tahoma" w:hAnsi="Tahoma" w:cs="Tahoma"/>
          <w:sz w:val="16"/>
          <w:lang w:val="ru-RU"/>
        </w:rPr>
        <w:t>plat</w:t>
      </w:r>
      <w:r w:rsidR="005E0301" w:rsidRPr="00150D48">
        <w:rPr>
          <w:rFonts w:ascii="Tahoma" w:hAnsi="Tahoma" w:cs="Tahoma"/>
          <w:sz w:val="16"/>
        </w:rPr>
        <w:t>e</w:t>
      </w:r>
      <w:r w:rsidR="005E0301" w:rsidRPr="00150D48">
        <w:rPr>
          <w:rFonts w:ascii="Tahoma" w:hAnsi="Tahoma" w:cs="Tahoma"/>
          <w:sz w:val="16"/>
          <w:lang w:val="ru-RU"/>
        </w:rPr>
        <w:t xml:space="preserve"> </w:t>
      </w:r>
      <w:r w:rsidR="0044669C">
        <w:rPr>
          <w:rFonts w:ascii="Tahoma" w:hAnsi="Tahoma" w:cs="Tahoma"/>
          <w:sz w:val="16"/>
          <w:lang w:val="ru-RU"/>
        </w:rPr>
        <w:t>zaposlenih</w:t>
      </w:r>
      <w:r w:rsidR="005E0301" w:rsidRPr="00150D48">
        <w:rPr>
          <w:rFonts w:ascii="Tahoma" w:hAnsi="Tahoma" w:cs="Tahoma"/>
          <w:sz w:val="16"/>
          <w:lang w:val="ru-RU"/>
        </w:rPr>
        <w:t xml:space="preserve"> </w:t>
      </w:r>
      <w:r w:rsidR="0044669C">
        <w:rPr>
          <w:rFonts w:ascii="Tahoma" w:hAnsi="Tahoma" w:cs="Tahoma"/>
          <w:sz w:val="16"/>
          <w:lang w:val="ru-RU"/>
        </w:rPr>
        <w:t>po</w:t>
      </w:r>
      <w:r w:rsidR="005E0301" w:rsidRPr="00150D48">
        <w:rPr>
          <w:rFonts w:ascii="Tahoma" w:hAnsi="Tahoma" w:cs="Tahoma"/>
          <w:sz w:val="16"/>
          <w:lang w:val="ru-RU"/>
        </w:rPr>
        <w:t xml:space="preserve"> </w:t>
      </w:r>
      <w:r w:rsidR="0044669C">
        <w:rPr>
          <w:rFonts w:ascii="Tahoma" w:hAnsi="Tahoma" w:cs="Tahoma"/>
          <w:sz w:val="16"/>
          <w:lang w:val="ru-RU"/>
        </w:rPr>
        <w:t>mjesecima</w:t>
      </w:r>
    </w:p>
    <w:p w:rsidR="0029071F" w:rsidRPr="00150D4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DC3BA1" w:rsidRPr="00150D48" w:rsidRDefault="005E0301" w:rsidP="00AB7277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</w:rPr>
      </w:pPr>
      <w:r w:rsidRPr="00150D48">
        <w:rPr>
          <w:rFonts w:ascii="Tahoma" w:hAnsi="Tahoma" w:cs="Tahoma"/>
          <w:b/>
          <w:sz w:val="16"/>
          <w:szCs w:val="16"/>
          <w:lang w:val="ru-RU"/>
        </w:rPr>
        <w:t xml:space="preserve">     </w:t>
      </w:r>
    </w:p>
    <w:p w:rsidR="00E92C59" w:rsidRPr="00150D48" w:rsidRDefault="00E92C59" w:rsidP="00AB7277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</w:rPr>
      </w:pPr>
    </w:p>
    <w:p w:rsidR="00BD4A09" w:rsidRDefault="00BD4A09" w:rsidP="0044669C">
      <w:pPr>
        <w:jc w:val="both"/>
        <w:rPr>
          <w:rFonts w:ascii="Tahoma" w:hAnsi="Tahoma" w:cs="Tahoma"/>
          <w:b/>
          <w:sz w:val="28"/>
          <w:szCs w:val="28"/>
        </w:rPr>
      </w:pPr>
      <w:r w:rsidRPr="00684F38">
        <w:rPr>
          <w:rFonts w:ascii="Tahoma" w:hAnsi="Tahoma" w:cs="Tahoma"/>
          <w:b/>
          <w:sz w:val="28"/>
          <w:szCs w:val="28"/>
          <w:lang w:val="sr-Cyrl-CS"/>
        </w:rPr>
        <w:t>3</w:t>
      </w:r>
      <w:r w:rsidRPr="00684F38">
        <w:rPr>
          <w:rFonts w:ascii="Tahoma" w:hAnsi="Tahoma" w:cs="Tahoma"/>
          <w:b/>
          <w:sz w:val="28"/>
          <w:szCs w:val="28"/>
        </w:rPr>
        <w:t>0</w:t>
      </w:r>
      <w:r w:rsidRPr="00684F38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 w:rsidR="0044669C">
        <w:rPr>
          <w:rFonts w:ascii="Tahoma" w:hAnsi="Tahoma" w:cs="Tahoma"/>
          <w:b/>
          <w:sz w:val="28"/>
          <w:szCs w:val="28"/>
          <w:lang w:val="sr-Cyrl-BA"/>
        </w:rPr>
        <w:t>septembar</w:t>
      </w:r>
      <w:r w:rsidRPr="00684F38">
        <w:rPr>
          <w:rFonts w:ascii="Tahoma" w:hAnsi="Tahoma" w:cs="Tahoma"/>
          <w:b/>
          <w:sz w:val="28"/>
          <w:szCs w:val="28"/>
          <w:lang w:val="sr-Cyrl-CS"/>
        </w:rPr>
        <w:t xml:space="preserve"> 2011. </w:t>
      </w:r>
      <w:r w:rsidR="0044669C">
        <w:rPr>
          <w:rFonts w:ascii="Tahoma" w:hAnsi="Tahoma" w:cs="Tahoma"/>
          <w:b/>
          <w:sz w:val="28"/>
          <w:szCs w:val="28"/>
          <w:lang w:val="sr-Cyrl-CS"/>
        </w:rPr>
        <w:t>godine</w:t>
      </w:r>
      <w:r w:rsidRPr="00684F38">
        <w:rPr>
          <w:rFonts w:ascii="Tahoma" w:hAnsi="Tahoma" w:cs="Tahoma"/>
          <w:b/>
          <w:sz w:val="28"/>
          <w:szCs w:val="28"/>
          <w:lang w:val="sr-Cyrl-CS"/>
        </w:rPr>
        <w:t xml:space="preserve">, </w:t>
      </w:r>
      <w:r w:rsidR="0044669C">
        <w:rPr>
          <w:rFonts w:ascii="Tahoma" w:hAnsi="Tahoma" w:cs="Tahoma"/>
          <w:b/>
          <w:sz w:val="28"/>
          <w:szCs w:val="28"/>
          <w:lang w:val="sr-Cyrl-CS"/>
        </w:rPr>
        <w:t>ukupan</w:t>
      </w:r>
      <w:r w:rsidRPr="00684F3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44669C">
        <w:rPr>
          <w:rFonts w:ascii="Tahoma" w:hAnsi="Tahoma" w:cs="Tahoma"/>
          <w:b/>
          <w:sz w:val="28"/>
          <w:szCs w:val="28"/>
          <w:lang w:val="sr-Cyrl-CS"/>
        </w:rPr>
        <w:t>broj</w:t>
      </w:r>
      <w:r w:rsidRPr="00684F3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44669C">
        <w:rPr>
          <w:rFonts w:ascii="Tahoma" w:hAnsi="Tahoma" w:cs="Tahoma"/>
          <w:b/>
          <w:sz w:val="28"/>
          <w:szCs w:val="28"/>
          <w:lang w:val="sr-Cyrl-CS"/>
        </w:rPr>
        <w:t>zaposlenih</w:t>
      </w:r>
      <w:r w:rsidRPr="00684F38">
        <w:rPr>
          <w:rFonts w:ascii="Tahoma" w:hAnsi="Tahoma" w:cs="Tahoma"/>
          <w:b/>
          <w:sz w:val="28"/>
          <w:szCs w:val="28"/>
          <w:lang w:val="sr-Cyrl-CS"/>
        </w:rPr>
        <w:t xml:space="preserve"> 237 923</w:t>
      </w:r>
    </w:p>
    <w:p w:rsidR="00BD4A09" w:rsidRPr="00BD4A09" w:rsidRDefault="00BD4A09" w:rsidP="00BD4A09">
      <w:pPr>
        <w:ind w:left="-142"/>
        <w:jc w:val="both"/>
        <w:rPr>
          <w:rFonts w:ascii="Tahoma" w:hAnsi="Tahoma" w:cs="Tahoma"/>
          <w:b/>
          <w:sz w:val="28"/>
          <w:szCs w:val="28"/>
        </w:rPr>
      </w:pPr>
    </w:p>
    <w:p w:rsidR="00BD4A09" w:rsidRPr="00967B38" w:rsidRDefault="0044669C" w:rsidP="00967B3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967B38">
        <w:rPr>
          <w:rFonts w:ascii="Tahoma" w:hAnsi="Tahoma" w:cs="Tahoma"/>
          <w:sz w:val="18"/>
          <w:szCs w:val="18"/>
          <w:lang w:val="sr-Cyrl-CS"/>
        </w:rPr>
        <w:t>Ukupan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broj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zaposlenih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Republici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Srpskoj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septembru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967B38">
        <w:rPr>
          <w:rFonts w:ascii="Tahoma" w:hAnsi="Tahoma" w:cs="Tahoma"/>
          <w:sz w:val="18"/>
          <w:szCs w:val="18"/>
          <w:lang w:val="sr-Cyrl-CS"/>
        </w:rPr>
        <w:t>godine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iznosi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237 923 </w:t>
      </w:r>
      <w:r w:rsidRPr="00967B38">
        <w:rPr>
          <w:rFonts w:ascii="Tahoma" w:hAnsi="Tahoma" w:cs="Tahoma"/>
          <w:sz w:val="18"/>
          <w:szCs w:val="18"/>
          <w:lang w:val="sr-Cyrl-CS"/>
        </w:rPr>
        <w:t>što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odnosu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na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mart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967B38">
        <w:rPr>
          <w:rFonts w:ascii="Tahoma" w:hAnsi="Tahoma" w:cs="Tahoma"/>
          <w:sz w:val="18"/>
          <w:szCs w:val="18"/>
          <w:lang w:val="sr-Cyrl-CS"/>
        </w:rPr>
        <w:t>godine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kada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bilo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239 988 </w:t>
      </w:r>
      <w:r w:rsidRPr="00967B38">
        <w:rPr>
          <w:rFonts w:ascii="Tahoma" w:hAnsi="Tahoma" w:cs="Tahoma"/>
          <w:sz w:val="18"/>
          <w:szCs w:val="18"/>
          <w:lang w:val="sr-Cyrl-CS"/>
        </w:rPr>
        <w:t>zaposlenih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manje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0,9%. </w:t>
      </w:r>
      <w:r w:rsidRPr="00967B38">
        <w:rPr>
          <w:rFonts w:ascii="Tahoma" w:hAnsi="Tahoma" w:cs="Tahoma"/>
          <w:sz w:val="18"/>
          <w:szCs w:val="18"/>
          <w:lang w:val="sr-Cyrl-CS"/>
        </w:rPr>
        <w:t>Od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ukupnog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broja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zaposlenih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, 200 301 </w:t>
      </w:r>
      <w:r w:rsidRPr="00967B38">
        <w:rPr>
          <w:rFonts w:ascii="Tahoma" w:hAnsi="Tahoma" w:cs="Tahoma"/>
          <w:sz w:val="18"/>
          <w:szCs w:val="18"/>
          <w:lang w:val="sr-Cyrl-CS"/>
        </w:rPr>
        <w:t>lice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zaposleno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poslovnim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subjektima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dok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 xml:space="preserve">se 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37 622 </w:t>
      </w:r>
      <w:r w:rsidRPr="00967B38">
        <w:rPr>
          <w:rFonts w:ascii="Tahoma" w:hAnsi="Tahoma" w:cs="Tahoma"/>
          <w:sz w:val="18"/>
          <w:szCs w:val="18"/>
          <w:lang w:val="sr-Cyrl-CS"/>
        </w:rPr>
        <w:t>odnosi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na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preduzetnike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lica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zaposlena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kod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njih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BD4A09" w:rsidRPr="00967B38" w:rsidRDefault="00BD4A09" w:rsidP="00967B3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D4A09" w:rsidRPr="00967B38" w:rsidRDefault="0044669C" w:rsidP="00967B3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967B38">
        <w:rPr>
          <w:rFonts w:ascii="Tahoma" w:hAnsi="Tahoma" w:cs="Tahoma"/>
          <w:sz w:val="18"/>
          <w:szCs w:val="18"/>
          <w:lang w:val="sr-Cyrl-CS"/>
        </w:rPr>
        <w:t>Rast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broja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zaposlenih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zabilježen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područjima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: </w:t>
      </w:r>
      <w:r w:rsidRPr="00967B38">
        <w:rPr>
          <w:rFonts w:ascii="Tahoma" w:hAnsi="Tahoma" w:cs="Tahoma"/>
          <w:sz w:val="18"/>
          <w:szCs w:val="18"/>
          <w:lang w:val="sr-Cyrl-CS"/>
        </w:rPr>
        <w:t>Poslovanje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nekretninama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iznajmljivanje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poslovne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djelatnosti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2,2%, </w:t>
      </w:r>
      <w:r w:rsidRPr="00967B38">
        <w:rPr>
          <w:rFonts w:ascii="Tahoma" w:hAnsi="Tahoma" w:cs="Tahoma"/>
          <w:sz w:val="18"/>
          <w:szCs w:val="18"/>
          <w:lang w:val="sr-Cyrl-CS"/>
        </w:rPr>
        <w:t>Vađenje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rude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kamena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1,9%, </w:t>
      </w:r>
      <w:r w:rsidRPr="00967B38">
        <w:rPr>
          <w:rFonts w:ascii="Tahoma" w:hAnsi="Tahoma" w:cs="Tahoma"/>
          <w:sz w:val="18"/>
          <w:szCs w:val="18"/>
          <w:lang w:val="sr-Cyrl-CS"/>
        </w:rPr>
        <w:t>Ostale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javne</w:t>
      </w:r>
      <w:r w:rsidR="005F1C68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komunalne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društvene</w:t>
      </w:r>
      <w:r w:rsidR="005F1C68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socijalne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lične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uslužne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djelatnosti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F1C68" w:rsidRPr="00967B38">
        <w:rPr>
          <w:rFonts w:ascii="Tahoma" w:hAnsi="Tahoma" w:cs="Tahoma"/>
          <w:sz w:val="18"/>
          <w:szCs w:val="18"/>
          <w:lang w:val="sr-Cyrl-CS"/>
        </w:rPr>
        <w:t xml:space="preserve">1,9%, </w:t>
      </w:r>
      <w:r w:rsidRPr="00967B38">
        <w:rPr>
          <w:rFonts w:ascii="Tahoma" w:hAnsi="Tahoma" w:cs="Tahoma"/>
          <w:sz w:val="18"/>
          <w:szCs w:val="18"/>
          <w:lang w:val="sr-Cyrl-CS"/>
        </w:rPr>
        <w:t>Poljoprivreda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lov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šumarstvo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1,6%. </w:t>
      </w:r>
    </w:p>
    <w:p w:rsidR="00BD4A09" w:rsidRPr="00967B38" w:rsidRDefault="00BD4A09" w:rsidP="00967B3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D4A09" w:rsidRPr="00967B38" w:rsidRDefault="0044669C" w:rsidP="00967B3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967B38">
        <w:rPr>
          <w:rFonts w:ascii="Tahoma" w:hAnsi="Tahoma" w:cs="Tahoma"/>
          <w:sz w:val="18"/>
          <w:szCs w:val="18"/>
          <w:lang w:val="sr-Cyrl-CS"/>
        </w:rPr>
        <w:t>Posmatrano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područjima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djelatnosti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broj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zaposlenih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smanjio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se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područjima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: </w:t>
      </w:r>
      <w:r w:rsidRPr="00967B38">
        <w:rPr>
          <w:rFonts w:ascii="Tahoma" w:hAnsi="Tahoma" w:cs="Tahoma"/>
          <w:sz w:val="18"/>
          <w:szCs w:val="18"/>
          <w:lang w:val="sr-Cyrl-CS"/>
        </w:rPr>
        <w:t>Ribarstvo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9,8%, </w:t>
      </w:r>
      <w:r w:rsidRPr="00967B38">
        <w:rPr>
          <w:rFonts w:ascii="Tahoma" w:hAnsi="Tahoma" w:cs="Tahoma"/>
          <w:sz w:val="18"/>
          <w:szCs w:val="18"/>
          <w:lang w:val="sr-Cyrl-CS"/>
        </w:rPr>
        <w:t>Ugostiteljstvo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 7,4%, </w:t>
      </w:r>
      <w:r w:rsidRPr="00967B38">
        <w:rPr>
          <w:rFonts w:ascii="Tahoma" w:hAnsi="Tahoma" w:cs="Tahoma"/>
          <w:sz w:val="18"/>
          <w:szCs w:val="18"/>
          <w:lang w:val="sr-Cyrl-CS"/>
        </w:rPr>
        <w:t>Trgovina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na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veliko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trgovina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na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malo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opravka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motornih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vozila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967B38">
        <w:rPr>
          <w:rFonts w:ascii="Tahoma" w:hAnsi="Tahoma" w:cs="Tahoma"/>
          <w:sz w:val="18"/>
          <w:szCs w:val="18"/>
          <w:lang w:val="sr-Cyrl-CS"/>
        </w:rPr>
        <w:t>motocikala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predmeta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ličnu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upotrebu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i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domaćinstvo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 xml:space="preserve">2,4%, </w:t>
      </w:r>
      <w:r w:rsidRPr="00967B38">
        <w:rPr>
          <w:rFonts w:ascii="Tahoma" w:hAnsi="Tahoma" w:cs="Tahoma"/>
          <w:sz w:val="18"/>
          <w:szCs w:val="18"/>
          <w:lang w:val="sr-Cyrl-CS"/>
        </w:rPr>
        <w:t>Obrazovanje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967B38">
        <w:rPr>
          <w:rFonts w:ascii="Tahoma" w:hAnsi="Tahoma" w:cs="Tahoma"/>
          <w:sz w:val="18"/>
          <w:szCs w:val="18"/>
          <w:lang w:val="sr-Cyrl-CS"/>
        </w:rPr>
        <w:t>za</w:t>
      </w:r>
      <w:r w:rsidR="006702DF" w:rsidRPr="00967B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73EEC" w:rsidRPr="00967B38">
        <w:rPr>
          <w:rFonts w:ascii="Tahoma" w:hAnsi="Tahoma" w:cs="Tahoma"/>
          <w:sz w:val="18"/>
          <w:szCs w:val="18"/>
          <w:lang w:val="sr-Cyrl-CS"/>
        </w:rPr>
        <w:t>1,7</w:t>
      </w:r>
      <w:r w:rsidR="00BD4A09" w:rsidRPr="00967B38">
        <w:rPr>
          <w:rFonts w:ascii="Tahoma" w:hAnsi="Tahoma" w:cs="Tahoma"/>
          <w:sz w:val="18"/>
          <w:szCs w:val="18"/>
          <w:lang w:val="sr-Cyrl-CS"/>
        </w:rPr>
        <w:t>%.</w:t>
      </w:r>
    </w:p>
    <w:p w:rsidR="00E92C59" w:rsidRPr="00BD4A09" w:rsidRDefault="00BD4A09" w:rsidP="0044669C">
      <w:pPr>
        <w:jc w:val="both"/>
        <w:rPr>
          <w:rFonts w:ascii="Tahoma" w:hAnsi="Tahoma" w:cs="Tahoma"/>
          <w:sz w:val="18"/>
          <w:szCs w:val="18"/>
        </w:rPr>
      </w:pPr>
      <w:r w:rsidRPr="00684F38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44669C" w:rsidRDefault="0044669C" w:rsidP="0029071F">
      <w:pPr>
        <w:jc w:val="both"/>
        <w:outlineLvl w:val="0"/>
        <w:rPr>
          <w:rFonts w:ascii="Tahoma" w:hAnsi="Tahoma" w:cs="Tahoma"/>
          <w:b/>
          <w:sz w:val="28"/>
          <w:szCs w:val="28"/>
          <w:lang w:val="sr-Latn-CS"/>
        </w:rPr>
      </w:pPr>
    </w:p>
    <w:p w:rsidR="0044669C" w:rsidRDefault="0044669C" w:rsidP="0029071F">
      <w:pPr>
        <w:jc w:val="both"/>
        <w:outlineLvl w:val="0"/>
        <w:rPr>
          <w:rFonts w:ascii="Tahoma" w:hAnsi="Tahoma" w:cs="Tahoma"/>
          <w:b/>
          <w:sz w:val="28"/>
          <w:szCs w:val="28"/>
          <w:lang w:val="sr-Latn-CS"/>
        </w:rPr>
      </w:pPr>
    </w:p>
    <w:p w:rsidR="001561A7" w:rsidRPr="00150D48" w:rsidRDefault="007F3A1D" w:rsidP="0029071F">
      <w:pPr>
        <w:jc w:val="both"/>
        <w:outlineLvl w:val="0"/>
        <w:rPr>
          <w:rFonts w:ascii="Tahoma" w:hAnsi="Tahoma" w:cs="Tahoma"/>
          <w:b/>
          <w:sz w:val="28"/>
          <w:szCs w:val="28"/>
          <w:lang w:val="sr-Cyrl-BA"/>
        </w:rPr>
      </w:pPr>
      <w:r w:rsidRPr="007F3A1D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next-textbox:#_x0000_s1068;mso-fit-shape-to-text:t">
              <w:txbxContent>
                <w:p w:rsidR="005F1C68" w:rsidRPr="00A56A4A" w:rsidRDefault="005F1C6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F3A1D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next-textbox:#_x0000_s1069;mso-fit-shape-to-text:t">
              <w:txbxContent>
                <w:p w:rsidR="005F1C68" w:rsidRPr="00A56A4A" w:rsidRDefault="005F1C68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4669C"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1561A7" w:rsidRPr="00150D4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44669C"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1561A7" w:rsidRPr="00150D4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44669C">
        <w:rPr>
          <w:rFonts w:ascii="Tahoma" w:hAnsi="Tahoma" w:cs="Tahoma"/>
          <w:b/>
          <w:sz w:val="28"/>
          <w:szCs w:val="28"/>
          <w:lang w:val="sr-Cyrl-BA"/>
        </w:rPr>
        <w:t>u</w:t>
      </w:r>
      <w:r w:rsidR="001561A7" w:rsidRPr="00150D4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44669C">
        <w:rPr>
          <w:rFonts w:ascii="Tahoma" w:hAnsi="Tahoma" w:cs="Tahoma"/>
          <w:b/>
          <w:sz w:val="28"/>
          <w:szCs w:val="28"/>
          <w:lang w:val="sr-Cyrl-BA"/>
        </w:rPr>
        <w:t>novembru</w:t>
      </w:r>
      <w:r w:rsidR="001561A7" w:rsidRPr="00150D48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B25132" w:rsidRPr="00150D4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44669C"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B25132" w:rsidRPr="00150D48">
        <w:rPr>
          <w:rFonts w:ascii="Tahoma" w:hAnsi="Tahoma" w:cs="Tahoma"/>
          <w:b/>
          <w:sz w:val="28"/>
          <w:szCs w:val="28"/>
          <w:lang w:val="sr-Cyrl-BA"/>
        </w:rPr>
        <w:t xml:space="preserve"> 0</w:t>
      </w:r>
      <w:r w:rsidR="006869EB" w:rsidRPr="00150D48">
        <w:rPr>
          <w:rFonts w:ascii="Tahoma" w:hAnsi="Tahoma" w:cs="Tahoma"/>
          <w:b/>
          <w:sz w:val="28"/>
          <w:szCs w:val="28"/>
          <w:lang w:val="sr-Cyrl-BA"/>
        </w:rPr>
        <w:t>,</w:t>
      </w:r>
      <w:r w:rsidR="00B25132" w:rsidRPr="00150D48">
        <w:rPr>
          <w:rFonts w:ascii="Tahoma" w:hAnsi="Tahoma" w:cs="Tahoma"/>
          <w:b/>
          <w:sz w:val="28"/>
          <w:szCs w:val="28"/>
          <w:lang w:val="sr-Cyrl-BA"/>
        </w:rPr>
        <w:t>3</w:t>
      </w:r>
      <w:r w:rsidR="006869EB" w:rsidRPr="00150D48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150D48" w:rsidRDefault="0044669C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Godišnja</w:t>
      </w:r>
      <w:r w:rsidR="001561A7" w:rsidRPr="00150D4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1561A7" w:rsidRPr="00150D48">
        <w:rPr>
          <w:rFonts w:ascii="Tahoma" w:hAnsi="Tahoma" w:cs="Tahoma"/>
          <w:sz w:val="24"/>
          <w:szCs w:val="24"/>
          <w:lang w:val="sr-Cyrl-BA"/>
        </w:rPr>
        <w:t xml:space="preserve"> (</w:t>
      </w:r>
      <w:r w:rsidR="005D7CF8" w:rsidRPr="00150D48">
        <w:rPr>
          <w:rFonts w:ascii="Tahoma" w:hAnsi="Tahoma" w:cs="Tahoma"/>
          <w:sz w:val="24"/>
          <w:szCs w:val="24"/>
          <w:lang w:val="sr-Cyrl-BA"/>
        </w:rPr>
        <w:t>X</w:t>
      </w:r>
      <w:r w:rsidR="00B25132" w:rsidRPr="00150D48">
        <w:rPr>
          <w:rFonts w:ascii="Tahoma" w:hAnsi="Tahoma" w:cs="Tahoma"/>
          <w:sz w:val="24"/>
          <w:szCs w:val="24"/>
        </w:rPr>
        <w:t>I</w:t>
      </w:r>
      <w:r w:rsidR="001561A7" w:rsidRPr="00150D48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5D7CF8" w:rsidRPr="00150D48">
        <w:rPr>
          <w:rFonts w:ascii="Tahoma" w:hAnsi="Tahoma" w:cs="Tahoma"/>
          <w:sz w:val="24"/>
          <w:szCs w:val="24"/>
        </w:rPr>
        <w:t>X</w:t>
      </w:r>
      <w:r w:rsidR="00B25132" w:rsidRPr="00150D48">
        <w:rPr>
          <w:rFonts w:ascii="Tahoma" w:hAnsi="Tahoma" w:cs="Tahoma"/>
          <w:sz w:val="24"/>
          <w:szCs w:val="24"/>
        </w:rPr>
        <w:t>I</w:t>
      </w:r>
      <w:r w:rsidR="001561A7" w:rsidRPr="00150D48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150D48">
        <w:rPr>
          <w:rFonts w:ascii="Tahoma" w:hAnsi="Tahoma" w:cs="Tahoma"/>
          <w:sz w:val="24"/>
          <w:szCs w:val="24"/>
          <w:lang w:val="sr-Cyrl-BA"/>
        </w:rPr>
        <w:t>.</w:t>
      </w:r>
      <w:r w:rsidR="00282D51" w:rsidRPr="00150D48">
        <w:rPr>
          <w:rFonts w:ascii="Tahoma" w:hAnsi="Tahoma" w:cs="Tahoma"/>
          <w:sz w:val="24"/>
          <w:szCs w:val="24"/>
          <w:lang w:val="sr-Cyrl-BA"/>
        </w:rPr>
        <w:t>) 4</w:t>
      </w:r>
      <w:r w:rsidR="00924AD7" w:rsidRPr="00150D48">
        <w:rPr>
          <w:rFonts w:ascii="Tahoma" w:hAnsi="Tahoma" w:cs="Tahoma"/>
          <w:sz w:val="24"/>
          <w:szCs w:val="24"/>
          <w:lang w:val="sr-Cyrl-BA"/>
        </w:rPr>
        <w:t>,</w:t>
      </w:r>
      <w:r w:rsidR="00B25132" w:rsidRPr="00150D48">
        <w:rPr>
          <w:rFonts w:ascii="Tahoma" w:hAnsi="Tahoma" w:cs="Tahoma"/>
          <w:sz w:val="24"/>
          <w:szCs w:val="24"/>
        </w:rPr>
        <w:t>1</w:t>
      </w:r>
      <w:r w:rsidR="001561A7" w:rsidRPr="00150D48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150D48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150D48" w:rsidRDefault="0044669C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  <w:r>
        <w:rPr>
          <w:rFonts w:ascii="Tahoma" w:hAnsi="Tahoma" w:cs="Tahoma"/>
          <w:szCs w:val="18"/>
          <w:lang w:val="sr-Cyrl-BA"/>
        </w:rPr>
        <w:t>Cijene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proizvoda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usluga</w:t>
      </w:r>
      <w:r w:rsidR="00BF01FE" w:rsidRPr="00150D4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koje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koriste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ličnu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potrošnju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Republici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Srpskoj</w:t>
      </w:r>
      <w:r w:rsidR="00BF01FE" w:rsidRPr="00150D4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mjerene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indeksom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potrošačkih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cijena</w:t>
      </w:r>
      <w:r w:rsidR="00BF01FE" w:rsidRPr="00150D4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novembru</w:t>
      </w:r>
      <w:r w:rsidR="005D7CF8" w:rsidRPr="00150D48">
        <w:rPr>
          <w:rFonts w:ascii="Tahoma" w:hAnsi="Tahoma" w:cs="Tahoma"/>
          <w:szCs w:val="18"/>
        </w:rPr>
        <w:t xml:space="preserve"> </w:t>
      </w:r>
      <w:r w:rsidR="00BF01FE" w:rsidRPr="00150D48">
        <w:rPr>
          <w:rFonts w:ascii="Tahoma" w:hAnsi="Tahoma" w:cs="Tahoma"/>
          <w:szCs w:val="18"/>
          <w:lang w:val="sr-Cyrl-BA"/>
        </w:rPr>
        <w:t xml:space="preserve">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odnosu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na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oktobar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150D4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prosijeku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su</w:t>
      </w:r>
      <w:r w:rsidR="00BF01FE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više</w:t>
      </w:r>
      <w:r w:rsidR="005D7CF8" w:rsidRPr="00150D4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5D7CF8" w:rsidRPr="00150D48">
        <w:rPr>
          <w:rFonts w:ascii="Tahoma" w:hAnsi="Tahoma" w:cs="Tahoma"/>
          <w:szCs w:val="18"/>
          <w:lang w:val="sr-Cyrl-BA"/>
        </w:rPr>
        <w:t xml:space="preserve"> </w:t>
      </w:r>
      <w:r w:rsidR="00B25132" w:rsidRPr="00150D48">
        <w:rPr>
          <w:rFonts w:ascii="Tahoma" w:hAnsi="Tahoma" w:cs="Tahoma"/>
          <w:szCs w:val="18"/>
          <w:lang w:val="sr-Cyrl-BA"/>
        </w:rPr>
        <w:t>0</w:t>
      </w:r>
      <w:r w:rsidR="005D7CF8" w:rsidRPr="00150D48">
        <w:rPr>
          <w:rFonts w:ascii="Tahoma" w:hAnsi="Tahoma" w:cs="Tahoma"/>
          <w:szCs w:val="18"/>
          <w:lang w:val="sr-Cyrl-BA"/>
        </w:rPr>
        <w:t>,</w:t>
      </w:r>
      <w:r w:rsidR="00B25132" w:rsidRPr="00150D48">
        <w:rPr>
          <w:rFonts w:ascii="Tahoma" w:hAnsi="Tahoma" w:cs="Tahoma"/>
          <w:szCs w:val="18"/>
          <w:lang w:val="sr-Cyrl-BA"/>
        </w:rPr>
        <w:t>3</w:t>
      </w:r>
      <w:r w:rsidR="005D7CF8" w:rsidRPr="00150D48">
        <w:rPr>
          <w:rFonts w:ascii="Tahoma" w:hAnsi="Tahoma" w:cs="Tahoma"/>
          <w:szCs w:val="18"/>
          <w:lang w:val="sr-Cyrl-BA"/>
        </w:rPr>
        <w:t>%</w:t>
      </w:r>
      <w:r w:rsidR="00BF01FE" w:rsidRPr="00150D48">
        <w:rPr>
          <w:rFonts w:ascii="Tahoma" w:hAnsi="Tahoma" w:cs="Tahoma"/>
          <w:szCs w:val="18"/>
          <w:lang w:val="sr-Cyrl-BA"/>
        </w:rPr>
        <w:t>.</w:t>
      </w:r>
    </w:p>
    <w:p w:rsidR="00623697" w:rsidRPr="00150D48" w:rsidRDefault="00623697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</w:p>
    <w:p w:rsidR="006257F4" w:rsidRPr="00150D48" w:rsidRDefault="0044669C" w:rsidP="006257F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novembru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623697" w:rsidRPr="00150D48" w:rsidRDefault="00623697" w:rsidP="00623697">
      <w:pPr>
        <w:jc w:val="both"/>
        <w:rPr>
          <w:rFonts w:ascii="Tahoma" w:hAnsi="Tahoma" w:cs="Tahoma"/>
          <w:sz w:val="18"/>
          <w:szCs w:val="18"/>
        </w:rPr>
      </w:pPr>
    </w:p>
    <w:p w:rsidR="006257F4" w:rsidRPr="00150D48" w:rsidRDefault="0044669C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Prevoz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0,7%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Goriva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maziva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1,4%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svih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vrsta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goriva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623697" w:rsidRPr="00150D48" w:rsidRDefault="00623697" w:rsidP="0062369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</w:p>
    <w:p w:rsidR="006257F4" w:rsidRPr="00150D48" w:rsidRDefault="0044669C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okviru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novembru</w:t>
      </w:r>
      <w:r w:rsidR="006257F4" w:rsidRPr="00150D48">
        <w:rPr>
          <w:rFonts w:ascii="Tahoma" w:eastAsia="Calibri" w:hAnsi="Tahoma" w:cs="Tahoma"/>
          <w:sz w:val="18"/>
          <w:szCs w:val="18"/>
        </w:rPr>
        <w:t xml:space="preserve"> 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0,6%.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2,6%,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3,5%, </w:t>
      </w:r>
      <w:r>
        <w:rPr>
          <w:rFonts w:ascii="Tahoma" w:eastAsia="Calibri" w:hAnsi="Tahoma" w:cs="Tahoma"/>
          <w:sz w:val="18"/>
          <w:szCs w:val="18"/>
          <w:lang w:val="sr-Cyrl-BA"/>
        </w:rPr>
        <w:t>odnosno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2,1%,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pojeftinjenja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citrusnog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)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dovelo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ukupnom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nivou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imalo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12,3%,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kuhinjske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soli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1,7%, </w:t>
      </w:r>
      <w:r>
        <w:rPr>
          <w:rFonts w:ascii="Tahoma" w:eastAsia="Calibri" w:hAnsi="Tahoma" w:cs="Tahoma"/>
          <w:sz w:val="18"/>
          <w:szCs w:val="18"/>
          <w:lang w:val="sr-Cyrl-BA"/>
        </w:rPr>
        <w:t>praška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pecivo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kvasca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šlaga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pudinga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1,2%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homogenizovane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dječije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hrane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1,1%. </w:t>
      </w:r>
      <w:r>
        <w:rPr>
          <w:rFonts w:ascii="Tahoma" w:eastAsia="Calibri" w:hAnsi="Tahoma" w:cs="Tahoma"/>
          <w:sz w:val="18"/>
          <w:szCs w:val="18"/>
          <w:lang w:val="sr-Cyrl-BA"/>
        </w:rPr>
        <w:t>Ovaj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mjesec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poskupljenja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teletine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svinjetine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Mlijeko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sir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jaja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svježeg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0,9%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jogurta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kiselog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0,5%, </w:t>
      </w:r>
      <w:r>
        <w:rPr>
          <w:rFonts w:ascii="Tahoma" w:eastAsia="Calibri" w:hAnsi="Tahoma" w:cs="Tahoma"/>
          <w:sz w:val="18"/>
          <w:szCs w:val="18"/>
          <w:lang w:val="sr-Cyrl-BA"/>
        </w:rPr>
        <w:t>te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Hljeb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žitarice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poskupljenja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riže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3,9%, </w:t>
      </w:r>
      <w:r>
        <w:rPr>
          <w:rFonts w:ascii="Tahoma" w:eastAsia="Calibri" w:hAnsi="Tahoma" w:cs="Tahoma"/>
          <w:sz w:val="18"/>
          <w:szCs w:val="18"/>
          <w:lang w:val="sr-Cyrl-BA"/>
        </w:rPr>
        <w:t>tjestenine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0,8%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svih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vrsta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keksa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0,3%.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ostale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nepromijenjene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6257F4" w:rsidRPr="00150D48" w:rsidRDefault="0044669C" w:rsidP="006257F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novembru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0,1%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6257F4" w:rsidRPr="00150D48" w:rsidRDefault="006257F4" w:rsidP="006257F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</w:p>
    <w:p w:rsidR="006257F4" w:rsidRPr="00150D48" w:rsidRDefault="0044669C" w:rsidP="006257F4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prosijeku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iste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.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6257F4" w:rsidRPr="00150D48" w:rsidRDefault="0044669C" w:rsidP="006257F4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</w:rPr>
        <w:t>novembru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odjeljcima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Alkoholna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duvan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Zdravstvo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Rekracija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.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</w:p>
    <w:p w:rsidR="006257F4" w:rsidRPr="00150D48" w:rsidRDefault="0044669C" w:rsidP="006257F4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6257F4"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0,3%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održavanje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lične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higijene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toaletni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sapun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šampon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ulje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mlijeko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čišćenje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pjena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brijanje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pasta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zube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)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1,3%.</w:t>
      </w:r>
    </w:p>
    <w:p w:rsidR="00F2773E" w:rsidRPr="00150D48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150D48" w:rsidRDefault="0044669C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novembru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23697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1561A7"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150D48" w:rsidRDefault="0044669C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novembru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novembar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10,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: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9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7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8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3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150D48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>2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>5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>%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23697" w:rsidRPr="00150D48">
        <w:rPr>
          <w:rFonts w:ascii="Tahoma" w:hAnsi="Tahoma" w:cs="Tahoma"/>
          <w:sz w:val="18"/>
          <w:szCs w:val="18"/>
          <w:lang w:val="sr-Cyrl-BA"/>
        </w:rPr>
        <w:t>0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6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7D2F9C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>0,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>%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.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B16A16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150D48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150D48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150D48" w:rsidRDefault="0044669C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5E0301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5E0301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5E0301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5E0301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153234" w:rsidRPr="00150D48">
        <w:rPr>
          <w:rFonts w:ascii="Tahoma" w:hAnsi="Tahoma" w:cs="Tahoma"/>
          <w:b/>
          <w:sz w:val="28"/>
          <w:szCs w:val="28"/>
          <w:lang w:val="sr-Cyrl-CS"/>
        </w:rPr>
        <w:t>(</w:t>
      </w:r>
      <w:r w:rsidR="00B648A4" w:rsidRPr="00150D48">
        <w:rPr>
          <w:rFonts w:ascii="Tahoma" w:hAnsi="Tahoma" w:cs="Tahoma"/>
          <w:b/>
          <w:sz w:val="28"/>
          <w:szCs w:val="28"/>
        </w:rPr>
        <w:t>X</w:t>
      </w:r>
      <w:r w:rsidR="00C343A9" w:rsidRPr="00150D48">
        <w:rPr>
          <w:rFonts w:ascii="Tahoma" w:hAnsi="Tahoma" w:cs="Tahoma"/>
          <w:b/>
          <w:sz w:val="28"/>
          <w:szCs w:val="28"/>
        </w:rPr>
        <w:t>I</w:t>
      </w:r>
      <w:r w:rsidR="00BE5202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150D48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150D48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150D48">
        <w:rPr>
          <w:rFonts w:ascii="Tahoma" w:hAnsi="Tahoma" w:cs="Tahoma"/>
          <w:b/>
          <w:sz w:val="28"/>
          <w:szCs w:val="28"/>
          <w:lang w:val="sr-Cyrl-CS"/>
        </w:rPr>
        <w:t>/</w:t>
      </w:r>
      <w:r w:rsidR="007A6DAD" w:rsidRPr="00150D48">
        <w:rPr>
          <w:rFonts w:ascii="Tahoma" w:hAnsi="Tahoma" w:cs="Tahoma"/>
          <w:b/>
          <w:sz w:val="28"/>
          <w:szCs w:val="28"/>
          <w:lang w:val="sr-Latn-CS"/>
        </w:rPr>
        <w:t>X</w:t>
      </w:r>
      <w:r w:rsidR="0009483B" w:rsidRPr="00150D48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150D48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150D48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150D48">
        <w:rPr>
          <w:rFonts w:ascii="Tahoma" w:hAnsi="Tahoma" w:cs="Tahoma"/>
          <w:b/>
          <w:sz w:val="28"/>
          <w:szCs w:val="28"/>
          <w:lang w:val="sr-Cyrl-CS"/>
        </w:rPr>
        <w:t>)</w:t>
      </w:r>
      <w:r w:rsidR="00967B38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0920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0920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niže</w:t>
      </w:r>
      <w:r w:rsidR="00FF2941" w:rsidRPr="00150D48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48A4" w:rsidRPr="00150D48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150D48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150D48" w:rsidRDefault="001B32B9" w:rsidP="0020048F">
      <w:pPr>
        <w:jc w:val="both"/>
        <w:rPr>
          <w:rFonts w:ascii="Tahoma" w:hAnsi="Tahoma" w:cs="Tahoma"/>
          <w:lang w:val="sr-Cyrl-CS"/>
        </w:rPr>
      </w:pPr>
    </w:p>
    <w:p w:rsidR="00C343A9" w:rsidRPr="00150D48" w:rsidRDefault="0044669C" w:rsidP="00C343A9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C343A9" w:rsidRPr="00150D48">
        <w:rPr>
          <w:rFonts w:ascii="Tahoma" w:hAnsi="Tahoma" w:cs="Tahoma"/>
          <w:sz w:val="18"/>
          <w:szCs w:val="18"/>
        </w:rPr>
        <w:t>e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C343A9" w:rsidRPr="00150D48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>20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>11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C343A9" w:rsidRPr="00150D48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>201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C343A9" w:rsidRPr="00150D48">
        <w:rPr>
          <w:rFonts w:ascii="Tahoma" w:hAnsi="Tahoma" w:cs="Tahoma"/>
          <w:sz w:val="18"/>
          <w:szCs w:val="18"/>
          <w:lang w:val="hr-HR"/>
        </w:rPr>
        <w:t>.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0,1%</w:t>
      </w:r>
      <w:r w:rsidR="00C343A9" w:rsidRPr="00150D48">
        <w:rPr>
          <w:rFonts w:ascii="Tahoma" w:hAnsi="Tahoma" w:cs="Tahoma"/>
          <w:sz w:val="18"/>
          <w:szCs w:val="18"/>
          <w:lang w:val="sr-Latn-CS"/>
        </w:rPr>
        <w:t>,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343A9" w:rsidRPr="00150D48">
        <w:rPr>
          <w:rFonts w:ascii="Tahoma" w:hAnsi="Tahoma" w:cs="Tahoma"/>
          <w:sz w:val="18"/>
          <w:szCs w:val="18"/>
          <w:lang w:val="sr-Latn-CS"/>
        </w:rPr>
        <w:t>3,8</w:t>
      </w:r>
      <w:r w:rsidR="00C343A9"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AC084B" w:rsidRPr="00150D48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2C2F32" w:rsidRPr="00150D48" w:rsidRDefault="0044669C" w:rsidP="002C2F3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hr-HR"/>
        </w:rPr>
        <w:t>20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11</w:t>
      </w:r>
      <w:r w:rsidR="002C2F32"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C2F32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2C2F32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2C2F32" w:rsidRPr="00150D48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hr-HR"/>
        </w:rPr>
        <w:t>201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C2F32"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C2F32"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2C2F32" w:rsidRPr="00150D48">
        <w:rPr>
          <w:rFonts w:ascii="Tahoma" w:hAnsi="Tahoma" w:cs="Tahoma"/>
          <w:sz w:val="18"/>
          <w:szCs w:val="18"/>
        </w:rPr>
        <w:t>4</w:t>
      </w:r>
      <w:r w:rsidR="002C2F32" w:rsidRPr="00150D48">
        <w:rPr>
          <w:rFonts w:ascii="Tahoma" w:hAnsi="Tahoma" w:cs="Tahoma"/>
          <w:sz w:val="18"/>
          <w:szCs w:val="18"/>
          <w:lang w:val="sr-Latn-CS"/>
        </w:rPr>
        <w:t>%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0,2%,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C2F32"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2C2F32" w:rsidRPr="00150D48">
        <w:rPr>
          <w:rFonts w:ascii="Tahoma" w:hAnsi="Tahoma" w:cs="Tahoma"/>
          <w:sz w:val="18"/>
          <w:szCs w:val="18"/>
          <w:lang w:val="sr-Latn-CS"/>
        </w:rPr>
        <w:t>4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sr-Latn-CS"/>
        </w:rPr>
        <w:t xml:space="preserve">za 0,3%,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AC084B" w:rsidRPr="00150D48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0A5A0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53234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5E0301"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5E0301"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11,1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112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112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4,7</w:t>
      </w:r>
      <w:r w:rsidR="00A1128C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B648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4,6</w:t>
      </w:r>
      <w:r w:rsidR="00EB7E5A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A5A0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0A5A0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,4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B648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 0,7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150D48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CF50FB" w:rsidRPr="00150D48" w:rsidRDefault="0044669C" w:rsidP="00CF50FB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(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PRODCOM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>)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CF50FB" w:rsidRPr="00150D48">
        <w:rPr>
          <w:rFonts w:ascii="Tahoma" w:hAnsi="Tahoma" w:cs="Tahoma"/>
          <w:sz w:val="18"/>
          <w:szCs w:val="18"/>
        </w:rPr>
        <w:t xml:space="preserve"> 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)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CF50FB" w:rsidRPr="00150D48">
        <w:rPr>
          <w:rFonts w:ascii="Tahoma" w:hAnsi="Tahoma" w:cs="Tahoma"/>
          <w:sz w:val="18"/>
          <w:szCs w:val="18"/>
        </w:rPr>
        <w:t>,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>20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11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 xml:space="preserve"> 201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CF50FB" w:rsidRPr="00150D48">
        <w:rPr>
          <w:rFonts w:ascii="Tahoma" w:hAnsi="Tahoma" w:cs="Tahoma"/>
          <w:sz w:val="18"/>
          <w:szCs w:val="18"/>
          <w:lang w:val="hr-HR"/>
        </w:rPr>
        <w:t>.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CF50FB" w:rsidRPr="00150D48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CF50FB" w:rsidRPr="00150D48">
        <w:rPr>
          <w:rFonts w:ascii="Tahoma" w:hAnsi="Tahoma" w:cs="Tahoma"/>
          <w:sz w:val="18"/>
          <w:szCs w:val="18"/>
          <w:lang w:val="sr-Latn-CS"/>
        </w:rPr>
        <w:t>,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8%,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F50FB" w:rsidRPr="00150D4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snabdjevanje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C0614D" w:rsidRPr="00150D48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>20</w:t>
      </w:r>
      <w:r w:rsidR="00A507FC" w:rsidRPr="00150D48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F5630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7D156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>20</w:t>
      </w:r>
      <w:r w:rsidR="00A507FC" w:rsidRPr="00150D48">
        <w:rPr>
          <w:rFonts w:ascii="Tahoma" w:hAnsi="Tahoma" w:cs="Tahoma"/>
          <w:sz w:val="18"/>
          <w:szCs w:val="18"/>
          <w:lang w:val="sr-Cyrl-CS"/>
        </w:rPr>
        <w:t>10</w:t>
      </w:r>
      <w:r w:rsidR="005E0301" w:rsidRPr="00150D48">
        <w:rPr>
          <w:rFonts w:ascii="Tahoma" w:hAnsi="Tahoma" w:cs="Tahoma"/>
          <w:sz w:val="18"/>
          <w:szCs w:val="18"/>
          <w:lang w:val="hr-HR"/>
        </w:rPr>
        <w:t>.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5E0301" w:rsidRPr="00150D48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B5460E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B5460E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5460E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445C9" w:rsidRPr="00150D4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D4C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D4C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D4C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0D4C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D4C8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13,2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15323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B5460E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CF50FB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CF50FB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3,5</w:t>
      </w:r>
      <w:r w:rsidR="00305B23" w:rsidRPr="00150D48">
        <w:rPr>
          <w:rFonts w:ascii="Tahoma" w:hAnsi="Tahoma" w:cs="Tahoma"/>
          <w:bCs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05B23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05B23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305B23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5E0301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5E0301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5E0301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5E0301" w:rsidRPr="00150D48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5E0301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E025C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25CC" w:rsidRPr="00150D48">
        <w:rPr>
          <w:rFonts w:ascii="Tahoma" w:hAnsi="Tahoma" w:cs="Tahoma"/>
          <w:sz w:val="18"/>
          <w:szCs w:val="18"/>
          <w:lang w:val="sr-Cyrl-CS"/>
        </w:rPr>
        <w:t xml:space="preserve"> 1,2 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150D48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150D48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150D48" w:rsidRDefault="0044669C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5E0301" w:rsidRPr="00150D48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5E0301" w:rsidRPr="00150D48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5E0301" w:rsidRPr="00150D48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E578C7"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161921" w:rsidRPr="00150D48">
        <w:rPr>
          <w:rFonts w:ascii="Tahoma" w:hAnsi="Tahoma" w:cs="Tahoma"/>
          <w:b/>
          <w:spacing w:val="-4"/>
          <w:sz w:val="28"/>
          <w:szCs w:val="28"/>
        </w:rPr>
        <w:t>X</w:t>
      </w:r>
      <w:r w:rsidR="000D03D6" w:rsidRPr="00150D48">
        <w:rPr>
          <w:rFonts w:ascii="Tahoma" w:hAnsi="Tahoma" w:cs="Tahoma"/>
          <w:b/>
          <w:spacing w:val="-4"/>
          <w:sz w:val="28"/>
          <w:szCs w:val="28"/>
        </w:rPr>
        <w:t>I</w:t>
      </w:r>
      <w:r w:rsidR="005E0301"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="005E0301"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="005E0301" w:rsidRPr="00150D48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5E0301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5E0301" w:rsidRPr="00150D48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5E0301" w:rsidRPr="00150D48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veći</w:t>
      </w:r>
      <w:r w:rsidR="005E0301" w:rsidRPr="00150D4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0D03D6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12</w:t>
      </w:r>
      <w:r w:rsidR="005E0301" w:rsidRPr="00150D4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554EB1" w:rsidRPr="00150D48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="005E0301" w:rsidRPr="00150D48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150D48" w:rsidRDefault="0044669C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5E0301" w:rsidRPr="00150D48">
        <w:rPr>
          <w:rFonts w:ascii="Tahoma" w:hAnsi="Tahoma" w:cs="Tahoma"/>
          <w:sz w:val="24"/>
          <w:szCs w:val="24"/>
          <w:lang w:val="sr-Latn-BA"/>
        </w:rPr>
        <w:t xml:space="preserve"> (</w:t>
      </w:r>
      <w:r>
        <w:rPr>
          <w:rFonts w:ascii="Tahoma" w:hAnsi="Tahoma" w:cs="Tahoma"/>
          <w:sz w:val="24"/>
          <w:szCs w:val="24"/>
          <w:lang w:val="sr-Cyrl-CS"/>
        </w:rPr>
        <w:t>H</w:t>
      </w:r>
      <w:r w:rsidR="00D15ED3" w:rsidRPr="00150D48">
        <w:rPr>
          <w:rFonts w:ascii="Tahoma" w:hAnsi="Tahoma" w:cs="Tahoma"/>
          <w:sz w:val="24"/>
          <w:szCs w:val="24"/>
        </w:rPr>
        <w:t>I</w:t>
      </w:r>
      <w:r w:rsidR="005E0301" w:rsidRPr="00150D48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5E0301" w:rsidRPr="00150D48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150D48">
        <w:rPr>
          <w:rFonts w:ascii="Tahoma" w:hAnsi="Tahoma" w:cs="Tahoma"/>
          <w:sz w:val="24"/>
          <w:szCs w:val="24"/>
          <w:lang w:val="sr-Cyrl-CS"/>
        </w:rPr>
        <w:t>1</w:t>
      </w:r>
      <w:r w:rsidR="005E0301" w:rsidRPr="00150D48">
        <w:rPr>
          <w:rFonts w:ascii="Tahoma" w:hAnsi="Tahoma" w:cs="Tahoma"/>
          <w:sz w:val="24"/>
          <w:szCs w:val="24"/>
          <w:lang w:val="sr-Latn-BA"/>
        </w:rPr>
        <w:t>/</w:t>
      </w:r>
      <w:r w:rsidR="005E0301" w:rsidRPr="00150D48">
        <w:rPr>
          <w:rFonts w:ascii="Tahoma" w:hAnsi="Tahoma" w:cs="Tahoma"/>
          <w:bCs/>
          <w:sz w:val="24"/>
          <w:szCs w:val="24"/>
        </w:rPr>
        <w:sym w:font="Symbol" w:char="F0C6"/>
      </w:r>
      <w:r w:rsidR="005E0301" w:rsidRPr="00150D48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5E0301" w:rsidRPr="00150D48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150D48">
        <w:rPr>
          <w:rFonts w:ascii="Tahoma" w:hAnsi="Tahoma" w:cs="Tahoma"/>
          <w:bCs/>
          <w:sz w:val="24"/>
          <w:szCs w:val="24"/>
          <w:lang w:val="ru-RU"/>
        </w:rPr>
        <w:t>1</w:t>
      </w:r>
      <w:r w:rsidR="005E0301" w:rsidRPr="00150D48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150D48">
        <w:rPr>
          <w:rFonts w:ascii="Tahoma" w:hAnsi="Tahoma" w:cs="Tahoma"/>
          <w:bCs/>
          <w:sz w:val="24"/>
          <w:szCs w:val="24"/>
          <w:lang w:val="ru-RU"/>
        </w:rPr>
        <w:t>.</w:t>
      </w:r>
      <w:r w:rsidR="005E0301" w:rsidRPr="00150D48">
        <w:rPr>
          <w:rFonts w:ascii="Tahoma" w:hAnsi="Tahoma" w:cs="Tahoma"/>
          <w:bCs/>
          <w:sz w:val="24"/>
          <w:szCs w:val="24"/>
          <w:lang w:val="hr-HR"/>
        </w:rPr>
        <w:t>)</w:t>
      </w:r>
      <w:r w:rsidR="005E0301" w:rsidRPr="00150D48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 w:rsidR="00D15ED3" w:rsidRPr="00150D48">
        <w:rPr>
          <w:rFonts w:ascii="Tahoma" w:hAnsi="Tahoma" w:cs="Tahoma"/>
          <w:sz w:val="24"/>
          <w:szCs w:val="24"/>
        </w:rPr>
        <w:t>3</w:t>
      </w:r>
      <w:r w:rsidR="005E0301" w:rsidRPr="00150D48">
        <w:rPr>
          <w:rFonts w:ascii="Tahoma" w:hAnsi="Tahoma" w:cs="Tahoma"/>
          <w:sz w:val="24"/>
          <w:szCs w:val="24"/>
          <w:lang w:val="sr-Cyrl-BA"/>
        </w:rPr>
        <w:t>,</w:t>
      </w:r>
      <w:r w:rsidR="00D15ED3" w:rsidRPr="00150D48">
        <w:rPr>
          <w:rFonts w:ascii="Tahoma" w:hAnsi="Tahoma" w:cs="Tahoma"/>
          <w:sz w:val="24"/>
          <w:szCs w:val="24"/>
        </w:rPr>
        <w:t>6</w:t>
      </w:r>
      <w:r w:rsidR="005E0301" w:rsidRPr="00150D48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150D48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5E0301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150D48">
        <w:rPr>
          <w:rFonts w:ascii="Tahoma" w:hAnsi="Tahoma" w:cs="Tahoma"/>
          <w:sz w:val="18"/>
          <w:szCs w:val="18"/>
          <w:lang w:val="ru-RU"/>
        </w:rPr>
        <w:t>1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veća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12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>,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8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>%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1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9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>%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0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4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150D48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150D48" w:rsidRDefault="0044669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AC5FA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novembar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9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42F9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42F9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42F9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42F9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20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%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>,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4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2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2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150D48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150D48" w:rsidRDefault="0044669C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31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54EB1" w:rsidRPr="00150D48">
        <w:rPr>
          <w:rFonts w:ascii="Tahoma" w:hAnsi="Tahoma" w:cs="Tahoma"/>
          <w:sz w:val="18"/>
          <w:szCs w:val="18"/>
          <w:lang w:val="sr-Cyrl-CS"/>
        </w:rPr>
        <w:t>0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7</w:t>
      </w:r>
      <w:r w:rsidR="008E6F6E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%</w:t>
      </w:r>
      <w:r w:rsidR="00161921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2F5375" w:rsidRPr="00150D48">
        <w:rPr>
          <w:rFonts w:ascii="Tahoma" w:hAnsi="Tahoma" w:cs="Tahoma"/>
          <w:sz w:val="18"/>
          <w:szCs w:val="18"/>
          <w:lang w:val="ru-RU"/>
        </w:rPr>
        <w:t xml:space="preserve"> 6</w:t>
      </w:r>
      <w:r w:rsidR="00161921" w:rsidRPr="00150D48">
        <w:rPr>
          <w:rFonts w:ascii="Tahoma" w:hAnsi="Tahoma" w:cs="Tahoma"/>
          <w:sz w:val="18"/>
          <w:szCs w:val="18"/>
          <w:lang w:val="ru-RU"/>
        </w:rPr>
        <w:t>,</w:t>
      </w:r>
      <w:r w:rsidR="002F5375" w:rsidRPr="00150D48">
        <w:rPr>
          <w:rFonts w:ascii="Tahoma" w:hAnsi="Tahoma" w:cs="Tahoma"/>
          <w:sz w:val="18"/>
          <w:szCs w:val="18"/>
          <w:lang w:val="ru-RU"/>
        </w:rPr>
        <w:t>6</w:t>
      </w:r>
      <w:r w:rsidR="00161921" w:rsidRPr="00150D4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D27D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2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6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%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FD27D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903A7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7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0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150D48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5029D8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5029D8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5029D8"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novembru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1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>,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0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>%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150D4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F2D6E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D15ED3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5029D8" w:rsidRPr="00150D48">
        <w:rPr>
          <w:rFonts w:ascii="Tahoma" w:hAnsi="Tahoma" w:cs="Tahoma"/>
          <w:sz w:val="18"/>
          <w:szCs w:val="18"/>
          <w:lang w:val="sr-Cyrl-CS"/>
        </w:rPr>
        <w:t>%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431EFB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431EFB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431EFB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249E3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D15ED3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5A2DA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5029D8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5029D8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5029D8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5029D8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5029D8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rast</w:t>
      </w:r>
      <w:r w:rsidR="00C249E3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150D48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>,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1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431EFB" w:rsidRPr="00150D4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CF2D6E" w:rsidRPr="00150D48">
        <w:rPr>
          <w:rFonts w:ascii="Tahoma" w:hAnsi="Tahoma" w:cs="Tahoma"/>
          <w:sz w:val="18"/>
          <w:szCs w:val="18"/>
          <w:lang w:val="ru-RU"/>
        </w:rPr>
        <w:t>3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>,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4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150D48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7F09DE" w:rsidRPr="00150D48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8C133D" w:rsidRPr="00150D48" w:rsidRDefault="008C133D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17306E" w:rsidRPr="00150D48" w:rsidRDefault="0044669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17306E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17306E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B61FD5" w:rsidRPr="00150D48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="00B61FD5" w:rsidRPr="00150D48">
        <w:rPr>
          <w:rFonts w:ascii="Tahoma" w:hAnsi="Tahoma" w:cs="Tahoma"/>
          <w:b/>
          <w:sz w:val="28"/>
          <w:szCs w:val="28"/>
        </w:rPr>
        <w:t>I</w:t>
      </w:r>
      <w:r w:rsidR="00B61FD5" w:rsidRPr="00150D48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C80EE0" w:rsidRPr="00150D48">
        <w:rPr>
          <w:rFonts w:ascii="Tahoma" w:hAnsi="Tahoma" w:cs="Tahoma"/>
          <w:b/>
          <w:sz w:val="28"/>
          <w:szCs w:val="28"/>
        </w:rPr>
        <w:t>X</w:t>
      </w:r>
      <w:r w:rsidR="00CB132F" w:rsidRPr="00150D48">
        <w:rPr>
          <w:rFonts w:ascii="Tahoma" w:hAnsi="Tahoma" w:cs="Tahoma"/>
          <w:b/>
          <w:sz w:val="28"/>
          <w:szCs w:val="28"/>
        </w:rPr>
        <w:t>I</w:t>
      </w:r>
      <w:r w:rsidR="00B61FD5" w:rsidRPr="00150D48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="00B61FD5" w:rsidRPr="00150D48">
        <w:rPr>
          <w:rFonts w:ascii="Tahoma" w:hAnsi="Tahoma" w:cs="Tahoma"/>
          <w:b/>
          <w:sz w:val="28"/>
          <w:szCs w:val="28"/>
          <w:lang w:val="sr-Cyrl-BA"/>
        </w:rPr>
        <w:t>)</w:t>
      </w:r>
      <w:r w:rsidR="00B61FD5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150D48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150D48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150D48">
        <w:rPr>
          <w:rFonts w:ascii="Tahoma" w:hAnsi="Tahoma" w:cs="Tahoma"/>
          <w:b/>
          <w:sz w:val="28"/>
          <w:szCs w:val="28"/>
          <w:lang w:val="ru-RU"/>
        </w:rPr>
        <w:t>,</w:t>
      </w:r>
      <w:r w:rsidR="001D2625" w:rsidRPr="00150D48">
        <w:rPr>
          <w:rFonts w:ascii="Tahoma" w:hAnsi="Tahoma" w:cs="Tahoma"/>
          <w:b/>
          <w:sz w:val="28"/>
          <w:szCs w:val="28"/>
        </w:rPr>
        <w:t>1</w:t>
      </w:r>
      <w:r w:rsidR="005E1630" w:rsidRPr="00150D48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150D48" w:rsidRDefault="0044669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17306E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17306E" w:rsidRPr="00150D48">
        <w:rPr>
          <w:rFonts w:ascii="Tahoma" w:hAnsi="Tahoma" w:cs="Tahoma"/>
          <w:sz w:val="24"/>
          <w:szCs w:val="24"/>
          <w:lang w:val="hr-HR"/>
        </w:rPr>
        <w:t>(I</w:t>
      </w:r>
      <w:r w:rsidR="004A3DCE" w:rsidRPr="00150D48">
        <w:rPr>
          <w:rFonts w:ascii="Tahoma" w:hAnsi="Tahoma" w:cs="Tahoma"/>
          <w:sz w:val="24"/>
          <w:szCs w:val="24"/>
          <w:lang w:val="hr-HR"/>
        </w:rPr>
        <w:t>-</w:t>
      </w:r>
      <w:r w:rsidR="00C80EE0" w:rsidRPr="00150D48">
        <w:rPr>
          <w:rFonts w:ascii="Tahoma" w:hAnsi="Tahoma" w:cs="Tahoma"/>
          <w:sz w:val="24"/>
          <w:szCs w:val="24"/>
          <w:lang w:val="hr-HR"/>
        </w:rPr>
        <w:t>X</w:t>
      </w:r>
      <w:r w:rsidR="00CB132F" w:rsidRPr="00150D48">
        <w:rPr>
          <w:rFonts w:ascii="Tahoma" w:hAnsi="Tahoma" w:cs="Tahoma"/>
          <w:sz w:val="24"/>
          <w:szCs w:val="24"/>
          <w:lang w:val="hr-HR"/>
        </w:rPr>
        <w:t>I</w:t>
      </w:r>
      <w:r w:rsidR="0017306E" w:rsidRPr="00150D48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150D48">
        <w:rPr>
          <w:rFonts w:ascii="Tahoma" w:hAnsi="Tahoma" w:cs="Tahoma"/>
          <w:sz w:val="24"/>
          <w:szCs w:val="24"/>
          <w:lang w:val="hr-HR"/>
        </w:rPr>
        <w:t>-</w:t>
      </w:r>
      <w:r w:rsidR="00C80EE0" w:rsidRPr="00150D48">
        <w:rPr>
          <w:rFonts w:ascii="Tahoma" w:hAnsi="Tahoma" w:cs="Tahoma"/>
          <w:sz w:val="24"/>
          <w:szCs w:val="24"/>
          <w:lang w:val="hr-HR"/>
        </w:rPr>
        <w:t>X</w:t>
      </w:r>
      <w:r w:rsidR="00CB132F" w:rsidRPr="00150D48">
        <w:rPr>
          <w:rFonts w:ascii="Tahoma" w:hAnsi="Tahoma" w:cs="Tahoma"/>
          <w:sz w:val="24"/>
          <w:szCs w:val="24"/>
          <w:lang w:val="hr-HR"/>
        </w:rPr>
        <w:t>I</w:t>
      </w:r>
      <w:r w:rsidR="0017306E" w:rsidRPr="00150D48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150D48">
        <w:rPr>
          <w:rFonts w:ascii="Tahoma" w:hAnsi="Tahoma" w:cs="Tahoma"/>
          <w:sz w:val="24"/>
          <w:szCs w:val="24"/>
          <w:lang w:val="sr-Cyrl-CS"/>
        </w:rPr>
        <w:t>.</w:t>
      </w:r>
      <w:r w:rsidR="0017306E" w:rsidRPr="00150D48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17306E" w:rsidRPr="00150D48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B040ED" w:rsidRPr="00150D48">
        <w:rPr>
          <w:rFonts w:ascii="Tahoma" w:hAnsi="Tahoma" w:cs="Tahoma"/>
          <w:sz w:val="24"/>
          <w:szCs w:val="24"/>
        </w:rPr>
        <w:t>1</w:t>
      </w:r>
      <w:r w:rsidR="00C80EE0" w:rsidRPr="00150D48">
        <w:rPr>
          <w:rFonts w:ascii="Tahoma" w:hAnsi="Tahoma" w:cs="Tahoma"/>
          <w:sz w:val="24"/>
          <w:szCs w:val="24"/>
          <w:lang w:val="sr-Cyrl-BA"/>
        </w:rPr>
        <w:t>8</w:t>
      </w:r>
      <w:r w:rsidR="0017306E" w:rsidRPr="00150D48">
        <w:rPr>
          <w:rFonts w:ascii="Tahoma" w:hAnsi="Tahoma" w:cs="Tahoma"/>
          <w:sz w:val="24"/>
          <w:szCs w:val="24"/>
          <w:lang w:val="ru-RU"/>
        </w:rPr>
        <w:t>,</w:t>
      </w:r>
      <w:r w:rsidR="00CB132F" w:rsidRPr="00150D48">
        <w:rPr>
          <w:rFonts w:ascii="Tahoma" w:hAnsi="Tahoma" w:cs="Tahoma"/>
          <w:sz w:val="24"/>
          <w:szCs w:val="24"/>
        </w:rPr>
        <w:t>0</w:t>
      </w:r>
      <w:r w:rsidR="0017306E" w:rsidRPr="00150D48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150D48" w:rsidRDefault="0044669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17306E" w:rsidRPr="00150D48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novembru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57853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novembru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>39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>.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B61FD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B61FD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150D48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novembar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2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A2380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B132F" w:rsidRPr="00150D48">
        <w:rPr>
          <w:rFonts w:ascii="Tahoma" w:hAnsi="Tahoma" w:cs="Tahoma"/>
          <w:sz w:val="18"/>
          <w:szCs w:val="18"/>
          <w:lang w:val="sr-Cyrl-CS"/>
        </w:rPr>
        <w:t>357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584618" w:rsidRPr="00150D48">
        <w:rPr>
          <w:rFonts w:ascii="Tahoma" w:hAnsi="Tahoma" w:cs="Tahoma"/>
          <w:sz w:val="18"/>
          <w:szCs w:val="18"/>
        </w:rPr>
        <w:t>a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C80EE0" w:rsidRPr="00150D48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0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E9755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125</w:t>
      </w:r>
      <w:r w:rsidR="00A57853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C80EE0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150D48" w:rsidRDefault="0044669C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5E0F42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bs-Cyrl-BA"/>
        </w:rPr>
        <w:t>jedanaest</w:t>
      </w:r>
      <w:r w:rsidR="003B0DFC" w:rsidRPr="00150D48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E9755F" w:rsidRPr="00150D48">
        <w:rPr>
          <w:rFonts w:ascii="Tahoma" w:hAnsi="Tahoma" w:cs="Tahoma"/>
          <w:sz w:val="18"/>
          <w:szCs w:val="18"/>
          <w:lang w:val="ru-RU"/>
        </w:rPr>
        <w:t>5</w:t>
      </w:r>
      <w:r w:rsidR="003B0DFC" w:rsidRPr="00150D48">
        <w:rPr>
          <w:rFonts w:ascii="Tahoma" w:hAnsi="Tahoma" w:cs="Tahoma"/>
          <w:sz w:val="18"/>
          <w:szCs w:val="18"/>
          <w:lang w:val="ru-RU"/>
        </w:rPr>
        <w:t>7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>,</w:t>
      </w:r>
      <w:r w:rsidR="001D2625" w:rsidRPr="00150D48">
        <w:rPr>
          <w:rFonts w:ascii="Tahoma" w:hAnsi="Tahoma" w:cs="Tahoma"/>
          <w:sz w:val="18"/>
          <w:szCs w:val="18"/>
          <w:lang w:val="ru-RU"/>
        </w:rPr>
        <w:t>1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A57853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57853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ru-RU"/>
        </w:rPr>
        <w:t>768</w:t>
      </w:r>
      <w:r w:rsidR="003B0DF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>.</w:t>
      </w:r>
    </w:p>
    <w:p w:rsidR="00E053E5" w:rsidRPr="00150D48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150D48" w:rsidRDefault="0044669C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17306E" w:rsidRPr="00150D48">
        <w:rPr>
          <w:rFonts w:ascii="Tahoma" w:hAnsi="Tahoma" w:cs="Tahoma"/>
          <w:szCs w:val="18"/>
        </w:rPr>
        <w:t>e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17306E" w:rsidRPr="00150D48">
        <w:rPr>
          <w:rFonts w:ascii="Tahoma" w:hAnsi="Tahoma" w:cs="Tahoma"/>
          <w:szCs w:val="18"/>
        </w:rPr>
        <w:t>e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17306E" w:rsidRPr="00150D48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17306E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B61FD5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B61FD5" w:rsidRPr="00150D48">
        <w:rPr>
          <w:rFonts w:ascii="Tahoma" w:hAnsi="Tahoma" w:cs="Tahoma"/>
          <w:szCs w:val="18"/>
          <w:lang w:val="ru-RU"/>
        </w:rPr>
        <w:t xml:space="preserve"> </w:t>
      </w:r>
      <w:r w:rsidR="003B0DFC" w:rsidRPr="00150D48">
        <w:rPr>
          <w:rFonts w:ascii="Tahoma" w:hAnsi="Tahoma" w:cs="Tahoma"/>
          <w:szCs w:val="18"/>
          <w:lang w:val="ru-RU"/>
        </w:rPr>
        <w:t>–</w:t>
      </w:r>
      <w:r w:rsidR="008D6AC0" w:rsidRPr="00150D4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sr-Cyrl-BA"/>
        </w:rPr>
        <w:t>novembar</w:t>
      </w:r>
      <w:r w:rsidR="00C80EE0" w:rsidRPr="00150D48">
        <w:rPr>
          <w:rFonts w:ascii="Tahoma" w:hAnsi="Tahoma" w:cs="Tahoma"/>
          <w:szCs w:val="18"/>
          <w:lang w:val="ru-RU"/>
        </w:rPr>
        <w:t xml:space="preserve"> </w:t>
      </w:r>
      <w:r w:rsidR="0017306E" w:rsidRPr="00150D48">
        <w:rPr>
          <w:rFonts w:ascii="Tahoma" w:hAnsi="Tahoma" w:cs="Tahoma"/>
          <w:szCs w:val="18"/>
          <w:lang w:val="sr-Cyrl-CS"/>
        </w:rPr>
        <w:t xml:space="preserve">2011. </w:t>
      </w:r>
      <w:r>
        <w:rPr>
          <w:rFonts w:ascii="Tahoma" w:hAnsi="Tahoma" w:cs="Tahoma"/>
          <w:szCs w:val="18"/>
          <w:lang w:val="sr-Cyrl-CS"/>
        </w:rPr>
        <w:t>godine</w:t>
      </w:r>
      <w:r w:rsidR="0017306E" w:rsidRPr="00150D4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Cs w:val="18"/>
          <w:lang w:val="sr-Cyrl-CS"/>
        </w:rPr>
        <w:t>434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17306E" w:rsidRPr="00150D4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1</w:t>
      </w:r>
      <w:r w:rsidR="001D2625" w:rsidRPr="00150D48">
        <w:rPr>
          <w:rFonts w:ascii="Tahoma" w:hAnsi="Tahoma" w:cs="Tahoma"/>
          <w:szCs w:val="18"/>
          <w:lang w:val="sr-Cyrl-CS"/>
        </w:rPr>
        <w:t>8</w:t>
      </w:r>
      <w:r w:rsidR="0017306E" w:rsidRPr="00150D48">
        <w:rPr>
          <w:rFonts w:ascii="Tahoma" w:hAnsi="Tahoma" w:cs="Tahoma"/>
          <w:szCs w:val="18"/>
          <w:lang w:val="sr-Cyrl-CS"/>
        </w:rPr>
        <w:t>,</w:t>
      </w:r>
      <w:r w:rsidR="00AF78D3" w:rsidRPr="00150D48">
        <w:rPr>
          <w:rFonts w:ascii="Tahoma" w:hAnsi="Tahoma" w:cs="Tahoma"/>
          <w:szCs w:val="18"/>
          <w:lang w:val="sr-Cyrl-CS"/>
        </w:rPr>
        <w:t>4</w:t>
      </w:r>
      <w:r w:rsidR="0017306E" w:rsidRPr="00150D48">
        <w:rPr>
          <w:rFonts w:ascii="Tahoma" w:hAnsi="Tahoma" w:cs="Tahoma"/>
          <w:szCs w:val="18"/>
          <w:lang w:val="sr-Cyrl-CS"/>
        </w:rPr>
        <w:t>%</w:t>
      </w:r>
      <w:r w:rsidR="0017306E" w:rsidRPr="00150D48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17306E" w:rsidRPr="00150D4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Cs w:val="18"/>
          <w:lang w:val="sr-Cyrl-CS"/>
        </w:rPr>
        <w:t>343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B040ED" w:rsidRPr="00150D4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B040ED" w:rsidRPr="00150D48">
        <w:rPr>
          <w:rFonts w:ascii="Tahoma" w:hAnsi="Tahoma" w:cs="Tahoma"/>
          <w:szCs w:val="18"/>
          <w:lang w:val="sr-Cyrl-CS"/>
        </w:rPr>
        <w:t xml:space="preserve"> 1</w:t>
      </w:r>
      <w:r w:rsidR="003B0DFC" w:rsidRPr="00150D48">
        <w:rPr>
          <w:rFonts w:ascii="Tahoma" w:hAnsi="Tahoma" w:cs="Tahoma"/>
          <w:szCs w:val="18"/>
          <w:lang w:val="sr-Cyrl-CS"/>
        </w:rPr>
        <w:t>4</w:t>
      </w:r>
      <w:r w:rsidR="008D6AC0" w:rsidRPr="00150D48">
        <w:rPr>
          <w:rFonts w:ascii="Tahoma" w:hAnsi="Tahoma" w:cs="Tahoma"/>
          <w:szCs w:val="18"/>
          <w:lang w:val="sr-Cyrl-CS"/>
        </w:rPr>
        <w:t>,</w:t>
      </w:r>
      <w:r w:rsidR="00AF78D3" w:rsidRPr="00150D48">
        <w:rPr>
          <w:rFonts w:ascii="Tahoma" w:hAnsi="Tahoma" w:cs="Tahoma"/>
          <w:szCs w:val="18"/>
          <w:lang w:val="sr-Cyrl-CS"/>
        </w:rPr>
        <w:t>6</w:t>
      </w:r>
      <w:r w:rsidR="0017306E" w:rsidRPr="00150D48">
        <w:rPr>
          <w:rFonts w:ascii="Tahoma" w:hAnsi="Tahoma" w:cs="Tahoma"/>
          <w:szCs w:val="18"/>
          <w:lang w:val="sr-Cyrl-CS"/>
        </w:rPr>
        <w:t xml:space="preserve">%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17306E" w:rsidRPr="00150D4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17306E" w:rsidRPr="00150D48">
        <w:rPr>
          <w:rFonts w:ascii="Tahoma" w:hAnsi="Tahoma" w:cs="Tahoma"/>
          <w:szCs w:val="18"/>
          <w:lang w:val="sr-Cyrl-CS"/>
        </w:rPr>
        <w:t>.</w:t>
      </w:r>
    </w:p>
    <w:p w:rsidR="0017306E" w:rsidRPr="00150D48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150D48" w:rsidRDefault="0044669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milijardu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 xml:space="preserve">127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053E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150D48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 xml:space="preserve">758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B0DFC" w:rsidRPr="00150D48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150D48" w:rsidRDefault="0044669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17306E" w:rsidRPr="00150D4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17306E" w:rsidRPr="00150D4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17306E" w:rsidRPr="00150D4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17306E" w:rsidRPr="00150D48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17306E" w:rsidRPr="00150D4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8D6AC0" w:rsidRPr="00150D4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8D6AC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150D48">
        <w:rPr>
          <w:rFonts w:ascii="Tahoma" w:hAnsi="Tahoma" w:cs="Tahoma"/>
          <w:sz w:val="18"/>
          <w:szCs w:val="18"/>
          <w:lang w:val="ru-RU"/>
        </w:rPr>
        <w:t>–</w:t>
      </w:r>
      <w:r w:rsidR="008D6AC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novembar</w:t>
      </w:r>
      <w:r w:rsidR="00C80EE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053E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53E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81CE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781CE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781CE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81CE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7089F" w:rsidRPr="00150D48">
        <w:rPr>
          <w:rFonts w:ascii="Tahoma" w:hAnsi="Tahoma" w:cs="Tahoma"/>
          <w:sz w:val="18"/>
          <w:szCs w:val="18"/>
          <w:lang w:val="sr-Cyrl-CS"/>
        </w:rPr>
        <w:t>343</w:t>
      </w:r>
      <w:r w:rsidR="003B0DF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C80EE0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7089F" w:rsidRPr="00150D48">
        <w:rPr>
          <w:rFonts w:ascii="Tahoma" w:hAnsi="Tahoma" w:cs="Tahoma"/>
          <w:sz w:val="18"/>
          <w:szCs w:val="18"/>
          <w:lang w:val="sr-Cyrl-CS"/>
        </w:rPr>
        <w:t>5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17306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81CEE" w:rsidRPr="00150D48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81CE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781CE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781CE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81CE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milijadru</w:t>
      </w:r>
      <w:r w:rsidR="0057089F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7089F" w:rsidRPr="00150D48">
        <w:rPr>
          <w:rFonts w:ascii="Tahoma" w:hAnsi="Tahoma" w:cs="Tahoma"/>
          <w:sz w:val="18"/>
          <w:szCs w:val="18"/>
          <w:lang w:val="sr-Cyrl-BA"/>
        </w:rPr>
        <w:t xml:space="preserve"> 107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D6AC0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D6AC0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D6AC0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D6AC0" w:rsidRPr="00150D48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A13AB5" w:rsidRPr="00150D48">
        <w:rPr>
          <w:rFonts w:ascii="Tahoma" w:hAnsi="Tahoma" w:cs="Tahoma"/>
          <w:sz w:val="18"/>
          <w:szCs w:val="18"/>
          <w:lang w:val="sr-Cyrl-BA"/>
        </w:rPr>
        <w:t>6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57089F" w:rsidRPr="00150D48">
        <w:rPr>
          <w:rFonts w:ascii="Tahoma" w:hAnsi="Tahoma" w:cs="Tahoma"/>
          <w:sz w:val="18"/>
          <w:szCs w:val="18"/>
          <w:lang w:val="sr-Cyrl-BA"/>
        </w:rPr>
        <w:t>8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150D48">
        <w:rPr>
          <w:rFonts w:ascii="Tahoma" w:hAnsi="Tahoma" w:cs="Tahoma"/>
          <w:sz w:val="18"/>
          <w:szCs w:val="18"/>
          <w:lang w:val="sr-Cyrl-BA"/>
        </w:rPr>
        <w:t>.</w:t>
      </w:r>
    </w:p>
    <w:p w:rsidR="003B0DFC" w:rsidRPr="00150D48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9B294C" w:rsidRDefault="009B294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967B38" w:rsidRDefault="00967B3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967B38" w:rsidRDefault="00967B3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967B38" w:rsidRPr="00967B38" w:rsidRDefault="00967B3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DB6D76" w:rsidRPr="00150D48" w:rsidRDefault="007F3A1D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20.4pt;margin-top:8.05pt;width:61.05pt;height:19.75pt;z-index:251658240;mso-width-relative:margin;mso-height-relative:margin" stroked="f">
            <v:textbox style="mso-next-textbox:#_x0000_s1062">
              <w:txbxContent>
                <w:p w:rsidR="005F1C68" w:rsidRPr="0078288A" w:rsidRDefault="00967B38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Latn-CS"/>
                    </w:rPr>
                    <w:t>hilj</w:t>
                  </w:r>
                  <w:r w:rsidR="005F1C68"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DB6D76" w:rsidRPr="00150D4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150D4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150D48" w:rsidRDefault="007E7446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150D4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21858" cy="27432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1FE7" w:rsidRPr="00150D48" w:rsidRDefault="007F3A1D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  <w:r w:rsidRPr="007F3A1D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66.35pt;margin-top:2.75pt;width:36.15pt;height:16.85pt;z-index:251657216;mso-height-percent:200;mso-height-percent:200;mso-width-relative:margin;mso-height-relative:margin" stroked="f">
            <v:textbox style="mso-next-textbox:#_x0000_s1061;mso-fit-shape-to-text:t">
              <w:txbxContent>
                <w:p w:rsidR="005F1C68" w:rsidRPr="0078288A" w:rsidRDefault="005F1C68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7F3A1D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32.4pt;margin-top:2.7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5F1C68" w:rsidRPr="0078288A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</w:p>
    <w:p w:rsidR="005E0301" w:rsidRPr="00150D4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150D4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846676" w:rsidRPr="00150D48" w:rsidRDefault="0044669C" w:rsidP="00AB7277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0328B8" w:rsidRPr="00150D48">
        <w:rPr>
          <w:rFonts w:ascii="Tahoma" w:hAnsi="Tahoma" w:cs="Tahoma"/>
          <w:sz w:val="16"/>
          <w:szCs w:val="16"/>
          <w:lang w:val="ru-RU"/>
        </w:rPr>
        <w:t xml:space="preserve"> </w:t>
      </w:r>
      <w:r w:rsidR="00765234">
        <w:rPr>
          <w:rFonts w:ascii="Tahoma" w:hAnsi="Tahoma" w:cs="Tahoma"/>
          <w:sz w:val="16"/>
          <w:szCs w:val="16"/>
        </w:rPr>
        <w:t>3</w:t>
      </w:r>
      <w:r w:rsidR="005E0301" w:rsidRPr="00150D48">
        <w:rPr>
          <w:rFonts w:ascii="Tahoma" w:hAnsi="Tahoma" w:cs="Tahoma"/>
          <w:sz w:val="16"/>
          <w:szCs w:val="16"/>
          <w:lang w:val="ru-RU"/>
        </w:rPr>
        <w:t xml:space="preserve">. </w:t>
      </w:r>
      <w:r>
        <w:rPr>
          <w:rFonts w:ascii="Tahoma" w:hAnsi="Tahoma" w:cs="Tahoma"/>
          <w:iCs/>
          <w:sz w:val="16"/>
          <w:szCs w:val="16"/>
          <w:lang w:val="sr-Cyrl-CS"/>
        </w:rPr>
        <w:t>Iz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i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u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po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mjesecima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 </w:t>
      </w:r>
    </w:p>
    <w:p w:rsidR="00FB757A" w:rsidRPr="00150D4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F0147" w:rsidRPr="00150D48" w:rsidRDefault="0044669C" w:rsidP="003E5E5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ru-RU"/>
        </w:rPr>
        <w:t>Promet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trgovini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na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malo</w:t>
      </w:r>
      <w:r w:rsidR="00771CC7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manji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771CC7" w:rsidRPr="00150D48">
        <w:rPr>
          <w:rFonts w:ascii="Tahoma" w:hAnsi="Tahoma" w:cs="Tahoma"/>
          <w:b/>
          <w:sz w:val="28"/>
          <w:szCs w:val="28"/>
          <w:lang w:val="sr-Cyrl-CS"/>
        </w:rPr>
        <w:t>1</w:t>
      </w:r>
      <w:r w:rsidR="0055242C" w:rsidRPr="00150D48">
        <w:rPr>
          <w:rFonts w:ascii="Tahoma" w:hAnsi="Tahoma" w:cs="Tahoma"/>
          <w:b/>
          <w:sz w:val="28"/>
          <w:szCs w:val="28"/>
          <w:lang w:val="sr-Cyrl-CS"/>
        </w:rPr>
        <w:t>0,3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>% (</w:t>
      </w:r>
      <w:r w:rsidR="00317BE9" w:rsidRPr="00150D48">
        <w:rPr>
          <w:rFonts w:ascii="Tahoma" w:hAnsi="Tahoma" w:cs="Tahoma"/>
          <w:b/>
          <w:sz w:val="28"/>
          <w:szCs w:val="28"/>
          <w:lang w:val="sr-Latn-CS"/>
        </w:rPr>
        <w:t>X</w:t>
      </w:r>
      <w:r w:rsidR="00771CC7" w:rsidRPr="00150D48">
        <w:rPr>
          <w:rFonts w:ascii="Tahoma" w:hAnsi="Tahoma" w:cs="Tahoma"/>
          <w:b/>
          <w:sz w:val="28"/>
          <w:szCs w:val="28"/>
          <w:lang w:val="sr-Latn-CS"/>
        </w:rPr>
        <w:t>I</w:t>
      </w:r>
      <w:r w:rsidR="00771CC7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>2011/</w:t>
      </w:r>
      <w:r w:rsidR="0055242C" w:rsidRPr="00150D48">
        <w:rPr>
          <w:rFonts w:ascii="Tahoma" w:hAnsi="Tahoma" w:cs="Tahoma"/>
          <w:b/>
          <w:sz w:val="28"/>
          <w:szCs w:val="28"/>
          <w:lang w:val="sr-Latn-CS"/>
        </w:rPr>
        <w:t>X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150D48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150D48">
        <w:rPr>
          <w:rFonts w:ascii="Tahoma" w:hAnsi="Tahoma" w:cs="Tahoma"/>
          <w:b/>
          <w:sz w:val="28"/>
          <w:szCs w:val="28"/>
          <w:lang w:val="ru-RU"/>
        </w:rPr>
        <w:t>.</w:t>
      </w:r>
      <w:r w:rsidR="008F0147" w:rsidRPr="00150D48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E92C59" w:rsidRPr="00150D48" w:rsidRDefault="00E92C59" w:rsidP="003E5E54">
      <w:pPr>
        <w:rPr>
          <w:rFonts w:ascii="Tahoma" w:hAnsi="Tahoma" w:cs="Tahoma"/>
          <w:b/>
          <w:sz w:val="28"/>
          <w:szCs w:val="28"/>
        </w:rPr>
      </w:pPr>
    </w:p>
    <w:p w:rsidR="00E92C59" w:rsidRPr="00150D48" w:rsidRDefault="0044669C" w:rsidP="00E92C59">
      <w:pPr>
        <w:pStyle w:val="BodyTextIndent3"/>
        <w:tabs>
          <w:tab w:val="left" w:pos="720"/>
        </w:tabs>
        <w:ind w:firstLine="0"/>
        <w:rPr>
          <w:rFonts w:ascii="Tahoma" w:hAnsi="Tahoma" w:cs="Tahoma"/>
          <w:bCs w:val="0"/>
          <w:szCs w:val="18"/>
          <w:lang w:val="ru-RU"/>
        </w:rPr>
      </w:pPr>
      <w:r>
        <w:rPr>
          <w:rFonts w:ascii="Tahoma" w:hAnsi="Tahoma" w:cs="Tahoma"/>
          <w:bCs w:val="0"/>
          <w:szCs w:val="18"/>
          <w:lang w:val="sr-Cyrl-CS"/>
        </w:rPr>
        <w:t>Promet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trgovini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malo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novembru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2011.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oktobar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2011.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manji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za</w:t>
      </w:r>
      <w:r w:rsidR="00E92C59" w:rsidRPr="00150D48">
        <w:rPr>
          <w:rFonts w:ascii="Tahoma" w:hAnsi="Tahoma" w:cs="Tahoma"/>
          <w:bCs w:val="0"/>
          <w:szCs w:val="18"/>
          <w:lang w:val="ru-RU"/>
        </w:rPr>
        <w:t xml:space="preserve"> 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>10,3%,</w:t>
      </w:r>
      <w:r w:rsidR="00E92C59" w:rsidRPr="00150D48">
        <w:rPr>
          <w:rFonts w:ascii="Tahoma" w:hAnsi="Tahoma" w:cs="Tahoma"/>
          <w:bCs w:val="0"/>
          <w:szCs w:val="18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novembar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2010.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za</w:t>
      </w:r>
      <w:r w:rsidR="00E92C59" w:rsidRPr="00150D48">
        <w:rPr>
          <w:rFonts w:ascii="Tahoma" w:hAnsi="Tahoma" w:cs="Tahoma"/>
          <w:bCs w:val="0"/>
          <w:szCs w:val="18"/>
          <w:lang w:val="ru-RU"/>
        </w:rPr>
        <w:t xml:space="preserve"> 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>2,0%</w:t>
      </w:r>
      <w:r w:rsidR="00E92C59" w:rsidRPr="00150D48">
        <w:rPr>
          <w:rFonts w:ascii="Tahoma" w:hAnsi="Tahoma" w:cs="Tahoma"/>
          <w:bCs w:val="0"/>
          <w:szCs w:val="18"/>
          <w:lang w:val="ru-RU"/>
        </w:rPr>
        <w:t xml:space="preserve">, </w:t>
      </w:r>
      <w:r>
        <w:rPr>
          <w:rFonts w:ascii="Tahoma" w:hAnsi="Tahoma" w:cs="Tahoma"/>
          <w:bCs w:val="0"/>
          <w:szCs w:val="18"/>
          <w:lang w:val="sr-Cyrl-CS"/>
        </w:rPr>
        <w:t>dok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prosjek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2010.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E92C59" w:rsidRPr="00150D48">
        <w:rPr>
          <w:rFonts w:ascii="Tahoma" w:hAnsi="Tahoma" w:cs="Tahoma"/>
          <w:bCs w:val="0"/>
          <w:szCs w:val="18"/>
          <w:lang w:val="sr-Cyrl-CS"/>
        </w:rPr>
        <w:t xml:space="preserve"> 1,4%.</w:t>
      </w:r>
    </w:p>
    <w:p w:rsidR="00E92C59" w:rsidRPr="00150D48" w:rsidRDefault="00E92C59" w:rsidP="003E5E54">
      <w:pPr>
        <w:rPr>
          <w:rFonts w:ascii="Tahoma" w:hAnsi="Tahoma" w:cs="Tahoma"/>
          <w:bCs/>
          <w:sz w:val="18"/>
          <w:szCs w:val="18"/>
        </w:rPr>
      </w:pPr>
    </w:p>
    <w:p w:rsidR="00E92C59" w:rsidRPr="00804458" w:rsidRDefault="0044669C" w:rsidP="00E92C59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strukturi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prometa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najviše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nespecijalizovanim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29,8%,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motornim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gorivima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mazivima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29,0%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ostala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novom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robom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specijaliziranim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18,3%, </w:t>
      </w:r>
      <w:r>
        <w:rPr>
          <w:rFonts w:ascii="Tahoma" w:hAnsi="Tahoma" w:cs="Tahoma"/>
          <w:bCs/>
          <w:sz w:val="18"/>
          <w:szCs w:val="18"/>
          <w:lang w:val="sr-Cyrl-CS"/>
        </w:rPr>
        <w:t>dok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najmanje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izvan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</w:t>
      </w:r>
      <w:r w:rsidR="00E92C59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0,4%</w:t>
      </w:r>
      <w:r w:rsidR="00804458">
        <w:rPr>
          <w:rFonts w:ascii="Tahoma" w:hAnsi="Tahoma" w:cs="Tahoma"/>
          <w:bCs/>
          <w:sz w:val="18"/>
          <w:szCs w:val="18"/>
        </w:rPr>
        <w:t>.</w:t>
      </w:r>
    </w:p>
    <w:p w:rsidR="005B12F7" w:rsidRPr="00150D48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F6318C" w:rsidRPr="00150D48" w:rsidRDefault="0044669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>
        <w:rPr>
          <w:rFonts w:ascii="Tahoma" w:hAnsi="Tahoma" w:cs="Tahoma"/>
          <w:b/>
          <w:spacing w:val="-16"/>
          <w:sz w:val="28"/>
          <w:szCs w:val="28"/>
          <w:lang w:val="ru-RU"/>
        </w:rPr>
        <w:t>Zabilježeno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23,</w:t>
      </w:r>
      <w:r w:rsidR="00F6318C" w:rsidRPr="00150D48">
        <w:rPr>
          <w:rFonts w:ascii="Tahoma" w:hAnsi="Tahoma" w:cs="Tahoma"/>
          <w:b/>
          <w:spacing w:val="-16"/>
          <w:sz w:val="28"/>
          <w:szCs w:val="28"/>
        </w:rPr>
        <w:t>8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manje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noćenja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BA"/>
        </w:rPr>
        <w:t>u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novembru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2011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nego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u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oktobru</w:t>
      </w:r>
      <w:r w:rsidR="00F6318C" w:rsidRPr="00150D48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F6318C" w:rsidRPr="00150D48" w:rsidRDefault="0044669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>
        <w:rPr>
          <w:rFonts w:ascii="Tahoma" w:hAnsi="Tahoma" w:cs="Tahoma"/>
          <w:spacing w:val="-14"/>
          <w:sz w:val="24"/>
          <w:szCs w:val="24"/>
          <w:lang w:val="ru-RU"/>
        </w:rPr>
        <w:t>Najviše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noćenja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turista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iz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Srbije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to</w:t>
      </w:r>
      <w:r w:rsidR="00F6318C" w:rsidRPr="00150D48">
        <w:rPr>
          <w:rFonts w:ascii="Tahoma" w:hAnsi="Tahoma" w:cs="Tahoma"/>
          <w:spacing w:val="-14"/>
          <w:sz w:val="24"/>
          <w:szCs w:val="24"/>
          <w:lang w:val="ru-RU"/>
        </w:rPr>
        <w:t xml:space="preserve"> 5 692</w:t>
      </w:r>
    </w:p>
    <w:p w:rsidR="00F6318C" w:rsidRPr="00150D48" w:rsidRDefault="00F6318C" w:rsidP="00F6318C">
      <w:pPr>
        <w:pStyle w:val="Default"/>
        <w:jc w:val="both"/>
        <w:rPr>
          <w:color w:val="auto"/>
          <w:highlight w:val="yellow"/>
          <w:lang w:val="ru-RU"/>
        </w:rPr>
      </w:pPr>
    </w:p>
    <w:p w:rsidR="00F6318C" w:rsidRPr="00150D48" w:rsidRDefault="0044669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novembru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Republika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Srpska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raspolagala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kapacitetom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4 119 </w:t>
      </w:r>
      <w:r>
        <w:rPr>
          <w:rFonts w:ascii="Tahoma" w:hAnsi="Tahoma" w:cs="Tahoma"/>
          <w:sz w:val="18"/>
          <w:szCs w:val="18"/>
          <w:lang w:val="ru-RU"/>
        </w:rPr>
        <w:t>soba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odnosno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8 811 </w:t>
      </w:r>
      <w:r>
        <w:rPr>
          <w:rFonts w:ascii="Tahoma" w:hAnsi="Tahoma" w:cs="Tahoma"/>
          <w:sz w:val="18"/>
          <w:szCs w:val="18"/>
          <w:lang w:val="ru-RU"/>
        </w:rPr>
        <w:t>ležaja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>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F6318C" w:rsidRPr="00150D48" w:rsidRDefault="0044669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18 238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oktobar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15,8%,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45 015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oktobar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23,8%.</w:t>
      </w:r>
      <w:r w:rsidR="00F6318C" w:rsidRPr="00150D48">
        <w:rPr>
          <w:sz w:val="18"/>
          <w:szCs w:val="18"/>
          <w:lang w:val="sr-Cyrl-BA"/>
        </w:rPr>
        <w:t xml:space="preserve"> </w:t>
      </w:r>
    </w:p>
    <w:p w:rsidR="00F6318C" w:rsidRPr="00150D48" w:rsidRDefault="00F6318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F6318C" w:rsidRPr="00150D48" w:rsidRDefault="0044669C" w:rsidP="00F6318C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Poredeći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F6318C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zabilježeno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dolazaka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0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>,03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>,8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>%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>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F6318C" w:rsidRPr="00150D48" w:rsidRDefault="0044669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218 411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prethodne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0,1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574 090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prethodne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5,6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F6318C" w:rsidRPr="00150D48" w:rsidRDefault="0044669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Domaći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11 291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2,6%,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28 893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0,2%.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F6318C" w:rsidRPr="00150D48" w:rsidRDefault="0044669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Strani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6 947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4,7%,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 16 122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8,6%.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F6318C" w:rsidRPr="00150D48" w:rsidRDefault="0044669C" w:rsidP="00F6318C">
      <w:pPr>
        <w:jc w:val="both"/>
        <w:rPr>
          <w:rFonts w:ascii="Tahoma" w:hAnsi="Tahoma" w:cs="Tahoma"/>
          <w:b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ru-RU"/>
        </w:rPr>
        <w:t>Od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stranih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ostvarili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turisti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Srbije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(5 692),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1,9%.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drugom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Hrvatska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ostvarenih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3 936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41,0%.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trećem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ostvarenom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Austrija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(1 137),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novembar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318C" w:rsidRPr="00150D48">
        <w:rPr>
          <w:rFonts w:ascii="Tahoma" w:hAnsi="Tahoma" w:cs="Tahoma"/>
          <w:sz w:val="18"/>
          <w:szCs w:val="18"/>
          <w:lang w:val="ru-RU"/>
        </w:rPr>
        <w:t xml:space="preserve"> 207,3%.</w:t>
      </w:r>
    </w:p>
    <w:p w:rsidR="00F94323" w:rsidRPr="00150D48" w:rsidRDefault="00F94323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Pr="00150D48" w:rsidRDefault="00FB6D41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DB6D76" w:rsidRPr="00150D4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150D4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44669C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lastRenderedPageBreak/>
              <w:t>MATERIJAL</w:t>
            </w:r>
            <w:r w:rsidR="008C3261" w:rsidRPr="00150D4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150D48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150D48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150D48" w:rsidRDefault="0044669C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150D48" w:rsidRDefault="0044669C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C02566" w:rsidRPr="00150D48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A23F12" w:rsidRPr="00150D48" w:rsidRDefault="007F3A1D" w:rsidP="000F0E43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C02566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biljana.glisic@rzs.rs.ba</w:t>
              </w:r>
            </w:hyperlink>
            <w:r w:rsidR="00C02566" w:rsidRPr="00150D4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F0E43" w:rsidRPr="00150D48" w:rsidRDefault="0044669C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Vladimir</w:t>
            </w:r>
            <w:r w:rsidR="00A23F12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Koprivica</w:t>
            </w:r>
          </w:p>
          <w:p w:rsidR="00A23F12" w:rsidRPr="00150D48" w:rsidRDefault="007F3A1D" w:rsidP="000F0E43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C02566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vladimir.koprivica@rzs.rs.ba</w:t>
              </w:r>
            </w:hyperlink>
          </w:p>
          <w:p w:rsidR="00A23F12" w:rsidRPr="00150D48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150D48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150D4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CC25AA" w:rsidRPr="00150D48" w:rsidTr="00E92C59">
        <w:trPr>
          <w:trHeight w:hRule="exact" w:val="60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C25AA" w:rsidRPr="00150D48" w:rsidRDefault="0044669C" w:rsidP="00CC25AA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CC25AA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nacionalnih</w:t>
            </w:r>
            <w:r w:rsidR="00CC25AA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računa</w:t>
            </w:r>
          </w:p>
          <w:p w:rsidR="00CC25AA" w:rsidRPr="00150D48" w:rsidRDefault="0044669C" w:rsidP="00CC25A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Žana</w:t>
            </w:r>
            <w:r w:rsidR="00E92C59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Alagić</w:t>
            </w:r>
          </w:p>
          <w:p w:rsidR="00CC25AA" w:rsidRPr="00150D48" w:rsidRDefault="007F3A1D" w:rsidP="00CC25AA">
            <w:hyperlink r:id="rId14" w:history="1"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zana.alagic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CC25AA" w:rsidRPr="00150D48" w:rsidRDefault="00CC25AA" w:rsidP="00E92C59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150D48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44669C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150D48" w:rsidRDefault="0044669C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150D4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150D48" w:rsidRDefault="007F3A1D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50D4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44669C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150D48" w:rsidRDefault="0044669C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150D48" w:rsidRDefault="007F3A1D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150D4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50D4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44669C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150D48" w:rsidRDefault="0044669C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150D48" w:rsidRDefault="007F3A1D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150D4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150D48" w:rsidRDefault="0044669C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unutrašnje</w:t>
            </w:r>
            <w:r w:rsidR="008D6CFA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D6CFA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Pr="00150D48" w:rsidRDefault="0044669C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Sanela</w:t>
            </w:r>
            <w:r w:rsidR="008D6CFA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Vasiljević</w:t>
            </w:r>
          </w:p>
          <w:p w:rsidR="008D6CFA" w:rsidRPr="00150D48" w:rsidRDefault="007F3A1D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sanela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vasiljevic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D6CFA" w:rsidRPr="00150D48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E859F8" w:rsidRPr="00150D4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859F8" w:rsidRPr="00150D48" w:rsidRDefault="0044669C" w:rsidP="00E859F8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E859F8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turizma</w:t>
            </w:r>
            <w:r w:rsidR="00E859F8"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E859F8" w:rsidRPr="00150D48" w:rsidRDefault="0044669C" w:rsidP="00E859F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Miroslav</w:t>
            </w:r>
            <w:r w:rsidR="00E859F8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Ilić</w:t>
            </w:r>
          </w:p>
          <w:p w:rsidR="00E859F8" w:rsidRPr="00150D48" w:rsidRDefault="007F3A1D" w:rsidP="00E859F8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miroslav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ilic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E859F8" w:rsidRPr="00150D48" w:rsidRDefault="00E859F8" w:rsidP="008D6CFA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Pr="00150D4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150D4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44669C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150D4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150D4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b/>
                <w:bCs/>
              </w:rPr>
              <w:sym w:font="Symbol" w:char="00C6"/>
            </w:r>
            <w:r w:rsidRPr="00150D4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50D4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44669C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150D4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150D4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150D4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150D4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150D4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150D4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765234" w:rsidRDefault="0076523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765234" w:rsidRDefault="0076523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67B38" w:rsidRDefault="00967B38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150D4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150D48" w:rsidRDefault="007F3A1D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7F3A1D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150D4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50D4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50D4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50D48" w:rsidRDefault="0044669C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150D4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150D4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150D4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50D48" w:rsidRDefault="0044669C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150D48" w:rsidRDefault="0044669C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150D48" w:rsidRDefault="0044669C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150D48" w:rsidRDefault="0044669C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150D4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150D48" w:rsidRDefault="0044669C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150D48" w:rsidRDefault="0044669C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150D48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150D4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150D4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0" w:history="1"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150D4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150D48" w:rsidRDefault="0044669C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150D48" w:rsidRDefault="007F3A1D" w:rsidP="008C3261">
      <w:pPr>
        <w:rPr>
          <w:lang w:val="sr-Cyrl-BA"/>
        </w:rPr>
      </w:pPr>
      <w:r w:rsidRPr="007F3A1D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150D48" w:rsidRDefault="00657939" w:rsidP="008C3261">
      <w:pPr>
        <w:rPr>
          <w:lang w:val="sr-Cyrl-BA"/>
        </w:rPr>
      </w:pPr>
    </w:p>
    <w:sectPr w:rsidR="00657939" w:rsidRPr="00150D48" w:rsidSect="005D5311">
      <w:headerReference w:type="default" r:id="rId21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68" w:rsidRDefault="005F1C68">
      <w:r>
        <w:separator/>
      </w:r>
    </w:p>
  </w:endnote>
  <w:endnote w:type="continuationSeparator" w:id="0">
    <w:p w:rsidR="005F1C68" w:rsidRDefault="005F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68" w:rsidRDefault="005F1C68">
      <w:r>
        <w:separator/>
      </w:r>
    </w:p>
  </w:footnote>
  <w:footnote w:type="continuationSeparator" w:id="0">
    <w:p w:rsidR="005F1C68" w:rsidRDefault="005F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5F1C68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F1C68" w:rsidRPr="0044669C" w:rsidRDefault="0044669C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  <w:t>Republički zavod za statistiku</w:t>
          </w:r>
        </w:p>
        <w:p w:rsidR="005F1C68" w:rsidRPr="0044669C" w:rsidRDefault="0044669C" w:rsidP="0044669C">
          <w:pPr>
            <w:pStyle w:val="Header"/>
            <w:rPr>
              <w:color w:val="FFFFFF"/>
              <w:lang w:val="sr-Latn-CS"/>
            </w:rPr>
          </w:pPr>
          <w:r>
            <w:rPr>
              <w:rFonts w:ascii="Tahoma" w:hAnsi="Tahoma" w:cs="Tahoma"/>
              <w:b/>
              <w:color w:val="FFFFFF"/>
              <w:lang w:val="sr-Latn-CS"/>
            </w:rPr>
            <w:t>SAOPŠTENJE ZA 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F1C68" w:rsidRPr="005D5311" w:rsidRDefault="005F1C68" w:rsidP="0044669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>
            <w:rPr>
              <w:rFonts w:ascii="Tahoma" w:hAnsi="Tahoma" w:cs="Tahoma"/>
              <w:color w:val="0070C0"/>
              <w:sz w:val="16"/>
            </w:rPr>
            <w:t>8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44669C">
            <w:rPr>
              <w:rFonts w:ascii="Tahoma" w:hAnsi="Tahoma" w:cs="Tahoma"/>
              <w:color w:val="0070C0"/>
              <w:sz w:val="16"/>
              <w:lang w:val="sr-Latn-CS"/>
            </w:rPr>
            <w:t>decembar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F1C68" w:rsidRDefault="007F3A1D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7F3A1D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6C7F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52BE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669C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74E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14A0"/>
    <w:rsid w:val="005F1C68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1D"/>
    <w:rsid w:val="007F3A74"/>
    <w:rsid w:val="007F40A7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DD3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AA4"/>
    <w:rsid w:val="008B2F58"/>
    <w:rsid w:val="008B3410"/>
    <w:rsid w:val="008B43A9"/>
    <w:rsid w:val="008B4731"/>
    <w:rsid w:val="008B47D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67B38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2566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32F"/>
    <w:rsid w:val="00CB179F"/>
    <w:rsid w:val="00CB208B"/>
    <w:rsid w:val="00CB2BF5"/>
    <w:rsid w:val="00CB3109"/>
    <w:rsid w:val="00CB39C1"/>
    <w:rsid w:val="00CB3E64"/>
    <w:rsid w:val="00CB44D3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mailto:sanela.vasiljevic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iljana.gli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mailto:miroslav.i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ana.alag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ZANA\GDP-KVARTALI%20od%202006\Q%202011\Q3%202011\Grafikon-Stope%20realnog%20rasta%20Q3%20201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glisicbi.RZS\Desktop\Plate\2011\Za%20Vladana%20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nov2011\zaGraf%20nov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plotArea>
      <c:layout>
        <c:manualLayout>
          <c:layoutTarget val="inner"/>
          <c:xMode val="edge"/>
          <c:yMode val="edge"/>
          <c:x val="9.8933195333287802E-2"/>
          <c:y val="0.10628826864087375"/>
          <c:w val="0.76883951056566058"/>
          <c:h val="0.70727306813920987"/>
        </c:manualLayout>
      </c:layout>
      <c:barChart>
        <c:barDir val="col"/>
        <c:grouping val="stacked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0" h="0"/>
            </a:sp3d>
          </c:spPr>
          <c:cat>
            <c:strRef>
              <c:f>Sheet1!$A$1:$G$1</c:f>
              <c:strCache>
                <c:ptCount val="7"/>
                <c:pt idx="0">
                  <c:v>I 2010</c:v>
                </c:pt>
                <c:pt idx="1">
                  <c:v>II 2010</c:v>
                </c:pt>
                <c:pt idx="2">
                  <c:v>III 2010</c:v>
                </c:pt>
                <c:pt idx="3">
                  <c:v>IV 2010</c:v>
                </c:pt>
                <c:pt idx="4">
                  <c:v>I 2011¹</c:v>
                </c:pt>
                <c:pt idx="5">
                  <c:v>II 2011¹</c:v>
                </c:pt>
                <c:pt idx="6">
                  <c:v>III 2011¹</c:v>
                </c:pt>
              </c:strCache>
            </c:strRef>
          </c:cat>
          <c:val>
            <c:numRef>
              <c:f>Sheet1!$A$2:$G$2</c:f>
              <c:numCache>
                <c:formatCode>0\.0</c:formatCode>
                <c:ptCount val="7"/>
                <c:pt idx="0" formatCode="General">
                  <c:v>-0.30000000000000032</c:v>
                </c:pt>
                <c:pt idx="1">
                  <c:v>1</c:v>
                </c:pt>
                <c:pt idx="2" formatCode="General">
                  <c:v>1.1000000000000001</c:v>
                </c:pt>
                <c:pt idx="3" formatCode="General">
                  <c:v>1.4</c:v>
                </c:pt>
                <c:pt idx="4" formatCode="General">
                  <c:v>1.4</c:v>
                </c:pt>
                <c:pt idx="5" formatCode="General">
                  <c:v>1.5</c:v>
                </c:pt>
                <c:pt idx="6" formatCode="General">
                  <c:v>0.60000000000000064</c:v>
                </c:pt>
              </c:numCache>
            </c:numRef>
          </c:val>
        </c:ser>
        <c:overlap val="100"/>
        <c:axId val="48041344"/>
        <c:axId val="49218688"/>
      </c:barChart>
      <c:catAx>
        <c:axId val="480413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218688"/>
        <c:crossesAt val="-0.5"/>
        <c:lblAlgn val="ctr"/>
        <c:lblOffset val="100"/>
        <c:tickLblSkip val="1"/>
      </c:catAx>
      <c:valAx>
        <c:axId val="49218688"/>
        <c:scaling>
          <c:orientation val="minMax"/>
          <c:min val="-0.5"/>
        </c:scaling>
        <c:axPos val="l"/>
        <c:majorGridlines>
          <c:spPr>
            <a:ln w="3175"/>
          </c:spPr>
        </c:majorGridlines>
        <c:numFmt formatCode="General" sourceLinked="1"/>
        <c:majorTickMark val="in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8041344"/>
        <c:crosses val="autoZero"/>
        <c:crossBetween val="between"/>
      </c:valAx>
      <c:spPr>
        <a:ln>
          <a:noFill/>
        </a:ln>
      </c:spPr>
    </c:plotArea>
    <c:plotVisOnly val="1"/>
    <c:dispBlanksAs val="zero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6"/>
          <c:w val="0.65206660337670563"/>
          <c:h val="0.74715927458220444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791</c:v>
                </c:pt>
                <c:pt idx="1">
                  <c:v>798</c:v>
                </c:pt>
                <c:pt idx="2">
                  <c:v>798</c:v>
                </c:pt>
                <c:pt idx="3">
                  <c:v>804</c:v>
                </c:pt>
                <c:pt idx="4">
                  <c:v>807</c:v>
                </c:pt>
                <c:pt idx="5">
                  <c:v>803</c:v>
                </c:pt>
                <c:pt idx="6">
                  <c:v>816</c:v>
                </c:pt>
                <c:pt idx="7">
                  <c:v>817</c:v>
                </c:pt>
                <c:pt idx="8">
                  <c:v>811</c:v>
                </c:pt>
                <c:pt idx="9">
                  <c:v>813</c:v>
                </c:pt>
                <c:pt idx="10">
                  <c:v>807</c:v>
                </c:pt>
                <c:pt idx="11">
                  <c:v>802</c:v>
                </c:pt>
                <c:pt idx="12">
                  <c:v>813</c:v>
                </c:pt>
              </c:numCache>
            </c:numRef>
          </c:val>
        </c:ser>
        <c:marker val="1"/>
        <c:axId val="49236992"/>
        <c:axId val="49279744"/>
      </c:lineChart>
      <c:catAx>
        <c:axId val="49236992"/>
        <c:scaling>
          <c:orientation val="minMax"/>
        </c:scaling>
        <c:axPos val="b"/>
        <c:tickLblPos val="nextTo"/>
        <c:crossAx val="49279744"/>
        <c:crosses val="autoZero"/>
        <c:lblAlgn val="ctr"/>
        <c:lblOffset val="100"/>
      </c:catAx>
      <c:valAx>
        <c:axId val="49279744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49236992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2958170389414101"/>
          <c:y val="0.43924288920078397"/>
          <c:w val="0.26771924134883884"/>
          <c:h val="0.12151390441753702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370462</c:v>
                </c:pt>
                <c:pt idx="1">
                  <c:v>371725</c:v>
                </c:pt>
                <c:pt idx="2">
                  <c:v>282340</c:v>
                </c:pt>
                <c:pt idx="3">
                  <c:v>318159</c:v>
                </c:pt>
                <c:pt idx="4">
                  <c:v>370953</c:v>
                </c:pt>
                <c:pt idx="5">
                  <c:v>344250</c:v>
                </c:pt>
                <c:pt idx="6">
                  <c:v>344720</c:v>
                </c:pt>
                <c:pt idx="7">
                  <c:v>467781</c:v>
                </c:pt>
                <c:pt idx="8">
                  <c:v>408777</c:v>
                </c:pt>
                <c:pt idx="9">
                  <c:v>375448</c:v>
                </c:pt>
                <c:pt idx="10">
                  <c:v>423853</c:v>
                </c:pt>
                <c:pt idx="11">
                  <c:v>396712</c:v>
                </c:pt>
                <c:pt idx="12">
                  <c:v>392061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198072</c:v>
                </c:pt>
                <c:pt idx="1">
                  <c:v>180839</c:v>
                </c:pt>
                <c:pt idx="2">
                  <c:v>175608</c:v>
                </c:pt>
                <c:pt idx="3">
                  <c:v>191390</c:v>
                </c:pt>
                <c:pt idx="4">
                  <c:v>212435</c:v>
                </c:pt>
                <c:pt idx="5">
                  <c:v>213851</c:v>
                </c:pt>
                <c:pt idx="6">
                  <c:v>207617</c:v>
                </c:pt>
                <c:pt idx="7">
                  <c:v>228912</c:v>
                </c:pt>
                <c:pt idx="8">
                  <c:v>214293</c:v>
                </c:pt>
                <c:pt idx="9">
                  <c:v>218369</c:v>
                </c:pt>
                <c:pt idx="10">
                  <c:v>248961</c:v>
                </c:pt>
                <c:pt idx="11">
                  <c:v>220859</c:v>
                </c:pt>
                <c:pt idx="12">
                  <c:v>224442</c:v>
                </c:pt>
              </c:numCache>
            </c:numRef>
          </c:val>
        </c:ser>
        <c:marker val="1"/>
        <c:axId val="33796096"/>
        <c:axId val="33797632"/>
      </c:lineChart>
      <c:catAx>
        <c:axId val="337960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3797632"/>
        <c:crosses val="autoZero"/>
        <c:auto val="1"/>
        <c:lblAlgn val="ctr"/>
        <c:lblOffset val="100"/>
      </c:catAx>
      <c:valAx>
        <c:axId val="33797632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379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04"/>
          <c:w val="0.17661111111111141"/>
          <c:h val="0.16743438320210069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0.80414</cdr:x>
      <cdr:y>0</cdr:y>
    </cdr:from>
    <cdr:to>
      <cdr:x>0.91122</cdr:x>
      <cdr:y>0.14286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32367" y="-79513"/>
          <a:ext cx="523636" cy="418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Cyrl-CS" sz="800">
              <a:latin typeface="Tahoma" pitchFamily="34" charset="0"/>
              <a:ea typeface="Tahoma" pitchFamily="34" charset="0"/>
              <a:cs typeface="Tahoma" pitchFamily="34" charset="0"/>
            </a:rPr>
            <a:t>%</a:t>
          </a:r>
        </a:p>
        <a:p xmlns:a="http://schemas.openxmlformats.org/drawingml/2006/main">
          <a:endParaRPr lang="sr-Latn-BA" sz="1100"/>
        </a:p>
      </cdr:txBody>
    </cdr:sp>
  </cdr:relSizeAnchor>
  <cdr:relSizeAnchor xmlns:cdr="http://schemas.openxmlformats.org/drawingml/2006/chartDrawing">
    <cdr:from>
      <cdr:x>0.79275</cdr:x>
      <cdr:y>0.89286</cdr:y>
    </cdr:from>
    <cdr:to>
      <cdr:x>0.95337</cdr:x>
      <cdr:y>0.99026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71975" y="2619374"/>
          <a:ext cx="885825" cy="2857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BA" sz="1100"/>
            <a:t>¹</a:t>
          </a:r>
          <a:r>
            <a:rPr lang="en-US" sz="1100"/>
            <a:t> </a:t>
          </a:r>
          <a:r>
            <a:rPr lang="sr-Latn-CS" sz="800">
              <a:latin typeface="Tahoma" pitchFamily="34" charset="0"/>
              <a:ea typeface="Tahoma" pitchFamily="34" charset="0"/>
              <a:cs typeface="Tahoma" pitchFamily="34" charset="0"/>
            </a:rPr>
            <a:t>Procjena</a:t>
          </a:r>
          <a:endParaRPr lang="sr-Latn-BA" sz="8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93C2-5A28-4F10-AD25-94F61788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2293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16320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12</cp:revision>
  <cp:lastPrinted>2011-12-27T10:44:00Z</cp:lastPrinted>
  <dcterms:created xsi:type="dcterms:W3CDTF">2011-12-27T08:48:00Z</dcterms:created>
  <dcterms:modified xsi:type="dcterms:W3CDTF">2011-12-28T08:56:00Z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