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/>
      </w:tblPr>
      <w:tblGrid>
        <w:gridCol w:w="5245"/>
        <w:gridCol w:w="2256"/>
        <w:gridCol w:w="2818"/>
      </w:tblGrid>
      <w:tr w:rsidR="005D5311" w:rsidRPr="00150D48" w:rsidTr="008B47D1">
        <w:trPr>
          <w:cantSplit/>
          <w:trHeight w:val="970"/>
        </w:trPr>
        <w:tc>
          <w:tcPr>
            <w:tcW w:w="7777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50D48" w:rsidRDefault="005D5311" w:rsidP="00D541A2">
            <w:pPr>
              <w:ind w:left="113"/>
              <w:outlineLvl w:val="0"/>
              <w:rPr>
                <w:rFonts w:ascii="Tahoma" w:hAnsi="Tahoma" w:cs="Tahoma"/>
                <w:sz w:val="16"/>
              </w:rPr>
            </w:pPr>
            <w:r w:rsidRPr="00150D48">
              <w:rPr>
                <w:rFonts w:ascii="Tahoma" w:hAnsi="Tahoma" w:cs="Tahoma"/>
              </w:rPr>
              <w:br w:type="column"/>
            </w:r>
            <w:r w:rsidRPr="00150D48">
              <w:rPr>
                <w:rFonts w:ascii="Tahoma" w:hAnsi="Tahoma" w:cs="Tahoma"/>
              </w:rPr>
              <w:br w:type="column"/>
            </w:r>
            <w:r w:rsidRPr="00150D48">
              <w:rPr>
                <w:rFonts w:ascii="Tahoma" w:hAnsi="Tahoma" w:cs="Tahoma"/>
              </w:rPr>
              <w:br w:type="page"/>
            </w:r>
            <w:r w:rsidRPr="00150D48">
              <w:rPr>
                <w:rFonts w:ascii="Tahoma" w:hAnsi="Tahoma" w:cs="Tahoma"/>
              </w:rPr>
              <w:br w:type="page"/>
            </w:r>
            <w:r w:rsidR="008B47D1" w:rsidRPr="00150D48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6" w:type="dxa"/>
            <w:tcBorders>
              <w:bottom w:val="nil"/>
            </w:tcBorders>
            <w:tcMar>
              <w:right w:w="57" w:type="dxa"/>
            </w:tcMar>
          </w:tcPr>
          <w:p w:rsidR="005D5311" w:rsidRPr="00150D48" w:rsidRDefault="005D5311" w:rsidP="009722E9">
            <w:pPr>
              <w:ind w:left="113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50D48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50D48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765234" w:rsidRDefault="005D5311" w:rsidP="008C133D">
            <w:pPr>
              <w:ind w:left="113"/>
              <w:jc w:val="right"/>
              <w:outlineLvl w:val="0"/>
              <w:rPr>
                <w:rFonts w:ascii="Tahoma" w:hAnsi="Tahoma" w:cs="Tahoma"/>
                <w:color w:val="365F91" w:themeColor="accent1" w:themeShade="BF"/>
                <w:sz w:val="16"/>
                <w:lang w:val="bs-Latn-BA"/>
              </w:rPr>
            </w:pPr>
            <w:r w:rsidRPr="00765234">
              <w:rPr>
                <w:rFonts w:ascii="Tahoma" w:hAnsi="Tahoma" w:cs="Tahoma"/>
                <w:color w:val="365F91" w:themeColor="accent1" w:themeShade="BF"/>
                <w:sz w:val="16"/>
                <w:lang w:val="sr-Cyrl-BA"/>
              </w:rPr>
              <w:t>[</w:t>
            </w:r>
            <w:r w:rsidR="009B294C" w:rsidRPr="00765234">
              <w:rPr>
                <w:rFonts w:ascii="Tahoma" w:hAnsi="Tahoma" w:cs="Tahoma"/>
                <w:color w:val="365F91" w:themeColor="accent1" w:themeShade="BF"/>
                <w:sz w:val="16"/>
                <w:lang w:val="sr-Cyrl-BA"/>
              </w:rPr>
              <w:t>2</w:t>
            </w:r>
            <w:r w:rsidR="00AB7277" w:rsidRPr="00765234">
              <w:rPr>
                <w:rFonts w:ascii="Tahoma" w:hAnsi="Tahoma" w:cs="Tahoma"/>
                <w:color w:val="365F91" w:themeColor="accent1" w:themeShade="BF"/>
                <w:sz w:val="16"/>
              </w:rPr>
              <w:t>8</w:t>
            </w:r>
            <w:r w:rsidRPr="00765234">
              <w:rPr>
                <w:rFonts w:ascii="Tahoma" w:hAnsi="Tahoma" w:cs="Tahoma"/>
                <w:color w:val="365F91" w:themeColor="accent1" w:themeShade="BF"/>
                <w:sz w:val="16"/>
                <w:lang w:val="bs-Cyrl-BA"/>
              </w:rPr>
              <w:t xml:space="preserve">. </w:t>
            </w:r>
            <w:r w:rsidR="008C133D" w:rsidRPr="00765234">
              <w:rPr>
                <w:rFonts w:ascii="Tahoma" w:hAnsi="Tahoma" w:cs="Tahoma"/>
                <w:color w:val="365F91" w:themeColor="accent1" w:themeShade="BF"/>
                <w:sz w:val="16"/>
                <w:lang w:val="bs-Cyrl-BA"/>
              </w:rPr>
              <w:t>дец</w:t>
            </w:r>
            <w:r w:rsidR="009B294C" w:rsidRPr="00765234">
              <w:rPr>
                <w:rFonts w:ascii="Tahoma" w:hAnsi="Tahoma" w:cs="Tahoma"/>
                <w:color w:val="365F91" w:themeColor="accent1" w:themeShade="BF"/>
                <w:sz w:val="16"/>
                <w:lang w:val="bs-Cyrl-BA"/>
              </w:rPr>
              <w:t>ем</w:t>
            </w:r>
            <w:r w:rsidR="00DB6D76" w:rsidRPr="00765234">
              <w:rPr>
                <w:rFonts w:ascii="Tahoma" w:hAnsi="Tahoma" w:cs="Tahoma"/>
                <w:color w:val="365F91" w:themeColor="accent1" w:themeShade="BF"/>
                <w:sz w:val="16"/>
                <w:lang w:val="sr-Cyrl-CS"/>
              </w:rPr>
              <w:t>бар</w:t>
            </w:r>
            <w:r w:rsidRPr="00765234">
              <w:rPr>
                <w:rFonts w:ascii="Tahoma" w:hAnsi="Tahoma" w:cs="Tahoma"/>
                <w:color w:val="365F91" w:themeColor="accent1" w:themeShade="BF"/>
                <w:sz w:val="16"/>
                <w:lang w:val="bs-Cyrl-BA"/>
              </w:rPr>
              <w:t xml:space="preserve"> </w:t>
            </w:r>
            <w:r w:rsidRPr="00765234">
              <w:rPr>
                <w:rFonts w:ascii="Tahoma" w:hAnsi="Tahoma" w:cs="Tahoma"/>
                <w:color w:val="365F91" w:themeColor="accent1" w:themeShade="BF"/>
                <w:sz w:val="16"/>
                <w:lang w:val="sr-Cyrl-BA"/>
              </w:rPr>
              <w:t xml:space="preserve">2011.]  </w:t>
            </w:r>
            <w:r w:rsidR="005D400E" w:rsidRPr="00765234">
              <w:rPr>
                <w:rFonts w:ascii="Tahoma" w:hAnsi="Tahoma" w:cs="Tahoma"/>
                <w:b/>
                <w:color w:val="365F91" w:themeColor="accent1" w:themeShade="BF"/>
                <w:sz w:val="32"/>
                <w:szCs w:val="32"/>
                <w:lang w:val="sr-Cyrl-BA"/>
              </w:rPr>
              <w:t>1</w:t>
            </w:r>
            <w:r w:rsidR="008C133D" w:rsidRPr="00765234">
              <w:rPr>
                <w:rFonts w:ascii="Tahoma" w:hAnsi="Tahoma" w:cs="Tahoma"/>
                <w:b/>
                <w:color w:val="365F91" w:themeColor="accent1" w:themeShade="BF"/>
                <w:sz w:val="32"/>
                <w:szCs w:val="32"/>
                <w:lang w:val="sr-Cyrl-BA"/>
              </w:rPr>
              <w:t>2</w:t>
            </w:r>
            <w:r w:rsidRPr="00765234">
              <w:rPr>
                <w:rFonts w:ascii="Tahoma" w:hAnsi="Tahoma" w:cs="Tahoma"/>
                <w:b/>
                <w:color w:val="365F91" w:themeColor="accent1" w:themeShade="BF"/>
                <w:sz w:val="32"/>
                <w:szCs w:val="32"/>
                <w:lang w:val="sr-Cyrl-BA"/>
              </w:rPr>
              <w:t>/1</w:t>
            </w:r>
            <w:r w:rsidRPr="00765234">
              <w:rPr>
                <w:rFonts w:ascii="Tahoma" w:hAnsi="Tahoma" w:cs="Tahoma"/>
                <w:b/>
                <w:color w:val="365F91" w:themeColor="accent1" w:themeShade="BF"/>
                <w:sz w:val="32"/>
                <w:szCs w:val="32"/>
                <w:lang w:val="sr-Cyrl-CS"/>
              </w:rPr>
              <w:t>1</w:t>
            </w:r>
          </w:p>
        </w:tc>
      </w:tr>
      <w:tr w:rsidR="005D5311" w:rsidRPr="00150D48" w:rsidTr="008B47D1">
        <w:trPr>
          <w:cantSplit/>
        </w:trPr>
        <w:tc>
          <w:tcPr>
            <w:tcW w:w="5385" w:type="dxa"/>
            <w:vAlign w:val="center"/>
          </w:tcPr>
          <w:p w:rsidR="005D5311" w:rsidRPr="00150D48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388" w:type="dxa"/>
            <w:gridSpan w:val="2"/>
            <w:vAlign w:val="center"/>
          </w:tcPr>
          <w:p w:rsidR="005D5311" w:rsidRPr="00150D48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50D48" w:rsidRDefault="000971CB">
      <w:pPr>
        <w:rPr>
          <w:rFonts w:ascii="Tahoma" w:hAnsi="Tahoma" w:cs="Tahoma"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/>
      </w:tblPr>
      <w:tblGrid>
        <w:gridCol w:w="10319"/>
      </w:tblGrid>
      <w:tr w:rsidR="00193339" w:rsidRPr="00150D48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765234" w:rsidRDefault="008C133D" w:rsidP="008C133D">
            <w:pPr>
              <w:jc w:val="center"/>
              <w:outlineLvl w:val="0"/>
              <w:rPr>
                <w:b/>
                <w:color w:val="FFFFFF" w:themeColor="background1"/>
                <w:sz w:val="32"/>
                <w:szCs w:val="32"/>
                <w:lang w:val="sr-Cyrl-BA"/>
              </w:rPr>
            </w:pPr>
            <w:r w:rsidRPr="00765234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>деце</w:t>
            </w:r>
            <w:r w:rsidR="009B294C" w:rsidRPr="00765234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>м</w:t>
            </w:r>
            <w:r w:rsidR="00DB6D76" w:rsidRPr="00765234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>бар</w:t>
            </w:r>
            <w:r w:rsidR="007E158B" w:rsidRPr="00765234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 </w:t>
            </w:r>
            <w:r w:rsidR="00FB64BA" w:rsidRPr="00765234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2011</w:t>
            </w:r>
            <w:r w:rsidR="002F5E38" w:rsidRPr="00765234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. године</w:t>
            </w:r>
          </w:p>
        </w:tc>
      </w:tr>
      <w:tr w:rsidR="00193339" w:rsidRPr="00150D48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765234" w:rsidRDefault="008728B3" w:rsidP="008728B3">
            <w:pPr>
              <w:jc w:val="center"/>
              <w:rPr>
                <w:color w:val="FFFFFF" w:themeColor="background1"/>
                <w:sz w:val="24"/>
                <w:szCs w:val="24"/>
                <w:lang w:val="sr-Cyrl-BA"/>
              </w:rPr>
            </w:pPr>
            <w:r w:rsidRPr="00765234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САОПШТЕЊЕ ЗА МЕДИЈЕ</w:t>
            </w:r>
          </w:p>
        </w:tc>
      </w:tr>
    </w:tbl>
    <w:p w:rsidR="00B07584" w:rsidRPr="00150D48" w:rsidRDefault="00B07584" w:rsidP="009215D1">
      <w:pPr>
        <w:spacing w:line="360" w:lineRule="auto"/>
        <w:jc w:val="both"/>
        <w:rPr>
          <w:lang w:val="sr-Cyrl-BA"/>
        </w:rPr>
      </w:pPr>
    </w:p>
    <w:p w:rsidR="00027772" w:rsidRPr="00150D48" w:rsidRDefault="00027772" w:rsidP="00804458">
      <w:pPr>
        <w:autoSpaceDE w:val="0"/>
        <w:autoSpaceDN w:val="0"/>
        <w:adjustRightInd w:val="0"/>
        <w:jc w:val="both"/>
        <w:rPr>
          <w:rFonts w:ascii="Tahoma" w:hAnsi="Tahoma" w:cs="Tahoma"/>
          <w:sz w:val="28"/>
          <w:szCs w:val="28"/>
          <w:lang w:val="sr-Cyrl-CS" w:eastAsia="sr-Latn-BA"/>
        </w:rPr>
      </w:pPr>
      <w:r w:rsidRPr="00150D48">
        <w:rPr>
          <w:rFonts w:ascii="Tahoma" w:hAnsi="Tahoma" w:cs="Tahoma"/>
          <w:b/>
          <w:bCs/>
          <w:sz w:val="28"/>
          <w:szCs w:val="28"/>
          <w:lang w:val="sr-Latn-BA" w:eastAsia="sr-Latn-BA"/>
        </w:rPr>
        <w:t>Рeални раст тромјесечног бруто домаћег производа 0,</w:t>
      </w:r>
      <w:r w:rsidRPr="00150D48">
        <w:rPr>
          <w:rFonts w:ascii="Tahoma" w:hAnsi="Tahoma" w:cs="Tahoma"/>
          <w:b/>
          <w:bCs/>
          <w:sz w:val="28"/>
          <w:szCs w:val="28"/>
          <w:lang w:eastAsia="sr-Latn-BA"/>
        </w:rPr>
        <w:t>6</w:t>
      </w:r>
      <w:r w:rsidRPr="00150D48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% </w:t>
      </w:r>
      <w:r w:rsidRPr="00150D48">
        <w:rPr>
          <w:rFonts w:ascii="Tahoma" w:hAnsi="Tahoma" w:cs="Tahoma"/>
          <w:b/>
          <w:bCs/>
          <w:sz w:val="28"/>
          <w:szCs w:val="28"/>
          <w:lang w:val="sr-Cyrl-CS" w:eastAsia="sr-Latn-BA"/>
        </w:rPr>
        <w:t>за период</w:t>
      </w:r>
    </w:p>
    <w:p w:rsidR="00027772" w:rsidRPr="00150D48" w:rsidRDefault="00027772" w:rsidP="00027772">
      <w:pPr>
        <w:autoSpaceDE w:val="0"/>
        <w:autoSpaceDN w:val="0"/>
        <w:adjustRightInd w:val="0"/>
        <w:rPr>
          <w:rFonts w:ascii="Tahoma" w:hAnsi="Tahoma" w:cs="Tahoma"/>
          <w:b/>
          <w:bCs/>
          <w:sz w:val="28"/>
          <w:szCs w:val="28"/>
          <w:lang w:val="sr-Cyrl-CS" w:eastAsia="sr-Latn-BA"/>
        </w:rPr>
      </w:pPr>
      <w:r w:rsidRPr="00150D48">
        <w:rPr>
          <w:rFonts w:ascii="Tahoma" w:hAnsi="Tahoma" w:cs="Tahoma"/>
          <w:b/>
          <w:bCs/>
          <w:sz w:val="28"/>
          <w:szCs w:val="28"/>
          <w:lang w:val="sr-Latn-BA" w:eastAsia="sr-Latn-BA"/>
        </w:rPr>
        <w:t>(I</w:t>
      </w:r>
      <w:r w:rsidRPr="00150D48">
        <w:rPr>
          <w:rFonts w:ascii="Tahoma" w:hAnsi="Tahoma" w:cs="Tahoma"/>
          <w:b/>
          <w:bCs/>
          <w:sz w:val="28"/>
          <w:szCs w:val="28"/>
          <w:lang w:val="sr-Cyrl-CS" w:eastAsia="sr-Latn-BA"/>
        </w:rPr>
        <w:t>II</w:t>
      </w:r>
      <w:r w:rsidRPr="00150D48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тромјесечје 201</w:t>
      </w:r>
      <w:r w:rsidRPr="00150D48">
        <w:rPr>
          <w:rFonts w:ascii="Tahoma" w:hAnsi="Tahoma" w:cs="Tahoma"/>
          <w:b/>
          <w:bCs/>
          <w:sz w:val="28"/>
          <w:szCs w:val="28"/>
          <w:lang w:val="sr-Cyrl-CS" w:eastAsia="sr-Latn-BA"/>
        </w:rPr>
        <w:t>1</w:t>
      </w:r>
      <w:r w:rsidRPr="00150D48">
        <w:rPr>
          <w:rFonts w:ascii="Tahoma" w:hAnsi="Tahoma" w:cs="Tahoma"/>
          <w:b/>
          <w:bCs/>
          <w:sz w:val="28"/>
          <w:szCs w:val="28"/>
          <w:lang w:val="sr-Latn-BA" w:eastAsia="sr-Latn-BA"/>
        </w:rPr>
        <w:t>/II</w:t>
      </w:r>
      <w:r w:rsidRPr="00150D48">
        <w:rPr>
          <w:rFonts w:ascii="Tahoma" w:hAnsi="Tahoma" w:cs="Tahoma"/>
          <w:b/>
          <w:bCs/>
          <w:sz w:val="28"/>
          <w:szCs w:val="28"/>
          <w:lang w:val="sr-Cyrl-CS" w:eastAsia="sr-Latn-BA"/>
        </w:rPr>
        <w:t>I</w:t>
      </w:r>
      <w:r w:rsidRPr="00150D48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тромјесечје 20</w:t>
      </w:r>
      <w:r w:rsidRPr="00150D48">
        <w:rPr>
          <w:rFonts w:ascii="Tahoma" w:hAnsi="Tahoma" w:cs="Tahoma"/>
          <w:b/>
          <w:bCs/>
          <w:sz w:val="28"/>
          <w:szCs w:val="28"/>
          <w:lang w:val="sr-Cyrl-CS" w:eastAsia="sr-Latn-BA"/>
        </w:rPr>
        <w:t>10</w:t>
      </w:r>
      <w:r w:rsidRPr="00150D48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.) </w:t>
      </w:r>
    </w:p>
    <w:p w:rsidR="00027772" w:rsidRPr="00150D48" w:rsidRDefault="00027772" w:rsidP="0002777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sr-Cyrl-CS" w:eastAsia="sr-Latn-BA"/>
        </w:rPr>
      </w:pPr>
    </w:p>
    <w:p w:rsidR="00027772" w:rsidRPr="00150D48" w:rsidRDefault="00027772" w:rsidP="0002777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sr-Cyrl-CS" w:eastAsia="sr-Latn-BA"/>
        </w:rPr>
      </w:pPr>
      <w:r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Тромјесечни бруто домаћи производ реално је већи за </w:t>
      </w:r>
      <w:r w:rsidRPr="00150D48">
        <w:rPr>
          <w:rFonts w:ascii="Tahoma" w:hAnsi="Tahoma" w:cs="Tahoma"/>
          <w:sz w:val="18"/>
          <w:szCs w:val="18"/>
          <w:lang w:eastAsia="sr-Latn-BA"/>
        </w:rPr>
        <w:t>0</w:t>
      </w:r>
      <w:r w:rsidRPr="00150D48">
        <w:rPr>
          <w:rFonts w:ascii="Tahoma" w:hAnsi="Tahoma" w:cs="Tahoma"/>
          <w:sz w:val="18"/>
          <w:szCs w:val="18"/>
          <w:lang w:val="sr-Cyrl-CS" w:eastAsia="sr-Latn-BA"/>
        </w:rPr>
        <w:t>,</w:t>
      </w:r>
      <w:r w:rsidRPr="00150D48">
        <w:rPr>
          <w:rFonts w:ascii="Tahoma" w:hAnsi="Tahoma" w:cs="Tahoma"/>
          <w:sz w:val="18"/>
          <w:szCs w:val="18"/>
          <w:lang w:eastAsia="sr-Latn-BA"/>
        </w:rPr>
        <w:t>6</w:t>
      </w:r>
      <w:r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% </w:t>
      </w:r>
      <w:r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у </w:t>
      </w:r>
      <w:r w:rsidRPr="00150D48">
        <w:rPr>
          <w:rFonts w:ascii="Tahoma" w:hAnsi="Tahoma" w:cs="Tahoma"/>
          <w:sz w:val="18"/>
          <w:szCs w:val="18"/>
          <w:lang w:val="sr-Cyrl-CS" w:eastAsia="sr-Latn-BA"/>
        </w:rPr>
        <w:t>трећем</w:t>
      </w:r>
      <w:r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 тромјесечју 201</w:t>
      </w:r>
      <w:r w:rsidRPr="00150D48">
        <w:rPr>
          <w:rFonts w:ascii="Tahoma" w:hAnsi="Tahoma" w:cs="Tahoma"/>
          <w:sz w:val="18"/>
          <w:szCs w:val="18"/>
          <w:lang w:val="sr-Cyrl-CS" w:eastAsia="sr-Latn-BA"/>
        </w:rPr>
        <w:t>1</w:t>
      </w:r>
      <w:r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. године у односу на </w:t>
      </w:r>
      <w:r w:rsidRPr="00150D48">
        <w:rPr>
          <w:rFonts w:ascii="Tahoma" w:hAnsi="Tahoma" w:cs="Tahoma"/>
          <w:sz w:val="18"/>
          <w:szCs w:val="18"/>
          <w:lang w:val="sr-Cyrl-CS" w:eastAsia="sr-Latn-BA"/>
        </w:rPr>
        <w:t>треће</w:t>
      </w:r>
      <w:r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 тромјесечје 20</w:t>
      </w:r>
      <w:r w:rsidRPr="00150D48">
        <w:rPr>
          <w:rFonts w:ascii="Tahoma" w:hAnsi="Tahoma" w:cs="Tahoma"/>
          <w:sz w:val="18"/>
          <w:szCs w:val="18"/>
          <w:lang w:val="sr-Cyrl-CS" w:eastAsia="sr-Latn-BA"/>
        </w:rPr>
        <w:t>10</w:t>
      </w:r>
      <w:r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. </w:t>
      </w:r>
      <w:proofErr w:type="gramStart"/>
      <w:r w:rsidRPr="00150D48">
        <w:rPr>
          <w:rFonts w:ascii="Tahoma" w:hAnsi="Tahoma" w:cs="Tahoma"/>
          <w:sz w:val="18"/>
          <w:szCs w:val="18"/>
          <w:lang w:eastAsia="sr-Latn-BA"/>
        </w:rPr>
        <w:t>г</w:t>
      </w:r>
      <w:r w:rsidRPr="00150D48">
        <w:rPr>
          <w:rFonts w:ascii="Tahoma" w:hAnsi="Tahoma" w:cs="Tahoma"/>
          <w:sz w:val="18"/>
          <w:szCs w:val="18"/>
          <w:lang w:val="sr-Latn-BA" w:eastAsia="sr-Latn-BA"/>
        </w:rPr>
        <w:t>одине</w:t>
      </w:r>
      <w:proofErr w:type="gramEnd"/>
      <w:r w:rsidRPr="00150D48">
        <w:rPr>
          <w:rFonts w:ascii="Tahoma" w:hAnsi="Tahoma" w:cs="Tahoma"/>
          <w:sz w:val="18"/>
          <w:szCs w:val="18"/>
          <w:lang w:eastAsia="sr-Latn-BA"/>
        </w:rPr>
        <w:t>.</w:t>
      </w:r>
    </w:p>
    <w:p w:rsidR="00027772" w:rsidRPr="00150D48" w:rsidRDefault="00027772" w:rsidP="0002777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sr-Latn-BA" w:eastAsia="sr-Latn-BA"/>
        </w:rPr>
      </w:pPr>
    </w:p>
    <w:p w:rsidR="00027772" w:rsidRPr="00150D48" w:rsidRDefault="00027772" w:rsidP="00804458">
      <w:pPr>
        <w:jc w:val="both"/>
        <w:rPr>
          <w:rFonts w:ascii="Tahoma" w:hAnsi="Tahoma" w:cs="Tahoma"/>
          <w:sz w:val="18"/>
          <w:szCs w:val="18"/>
        </w:rPr>
      </w:pPr>
      <w:r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Посматрано по подручјима Класификације дјелатности, највећи реални раст </w:t>
      </w:r>
      <w:r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бруто додате вриједности </w:t>
      </w:r>
      <w:r w:rsidRPr="00150D48">
        <w:rPr>
          <w:rFonts w:ascii="Tahoma" w:hAnsi="Tahoma" w:cs="Tahoma"/>
          <w:sz w:val="18"/>
          <w:szCs w:val="18"/>
          <w:lang w:val="sr-Latn-BA" w:eastAsia="sr-Latn-BA"/>
        </w:rPr>
        <w:t>остварен</w:t>
      </w:r>
      <w:r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 је</w:t>
      </w:r>
      <w:r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 у подручјима </w:t>
      </w:r>
      <w:r w:rsidRPr="00150D48">
        <w:rPr>
          <w:rFonts w:ascii="Tahoma" w:hAnsi="Tahoma" w:cs="Tahoma"/>
          <w:i/>
          <w:sz w:val="18"/>
          <w:szCs w:val="18"/>
          <w:lang w:val="ru-RU"/>
        </w:rPr>
        <w:t>Производња и снабдијевање електричном енергијом, гасом и водо</w:t>
      </w:r>
      <w:r w:rsidRPr="00150D48">
        <w:rPr>
          <w:rFonts w:ascii="Tahoma" w:hAnsi="Tahoma" w:cs="Tahoma"/>
          <w:i/>
          <w:sz w:val="18"/>
          <w:szCs w:val="18"/>
        </w:rPr>
        <w:t>м</w:t>
      </w:r>
      <w:r w:rsidRPr="00150D48">
        <w:rPr>
          <w:rFonts w:ascii="Tahoma" w:hAnsi="Tahoma" w:cs="Tahoma"/>
          <w:sz w:val="18"/>
          <w:szCs w:val="18"/>
        </w:rPr>
        <w:t xml:space="preserve"> </w:t>
      </w:r>
      <w:r w:rsidRPr="00150D48">
        <w:rPr>
          <w:rFonts w:ascii="Tahoma" w:hAnsi="Tahoma" w:cs="Tahoma"/>
          <w:sz w:val="18"/>
          <w:szCs w:val="18"/>
          <w:lang w:val="sr-Cyrl-CS"/>
        </w:rPr>
        <w:t>за 26,6%,</w:t>
      </w:r>
      <w:r w:rsidRPr="00150D48">
        <w:rPr>
          <w:rFonts w:ascii="Tahoma" w:hAnsi="Tahoma" w:cs="Tahoma"/>
          <w:sz w:val="18"/>
          <w:szCs w:val="18"/>
        </w:rPr>
        <w:t xml:space="preserve"> </w:t>
      </w:r>
      <w:r w:rsidRPr="00150D48">
        <w:rPr>
          <w:rFonts w:ascii="Tahoma" w:hAnsi="Tahoma" w:cs="Tahoma"/>
          <w:i/>
          <w:sz w:val="18"/>
          <w:szCs w:val="18"/>
          <w:lang w:val="ru-RU"/>
        </w:rPr>
        <w:t>Вађење руда и камена</w:t>
      </w:r>
      <w:r w:rsidRPr="00150D48">
        <w:rPr>
          <w:rFonts w:ascii="Tahoma" w:hAnsi="Tahoma" w:cs="Tahoma"/>
          <w:sz w:val="18"/>
          <w:szCs w:val="18"/>
        </w:rPr>
        <w:t xml:space="preserve"> 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150D48">
        <w:rPr>
          <w:rFonts w:ascii="Tahoma" w:hAnsi="Tahoma" w:cs="Tahoma"/>
          <w:sz w:val="18"/>
          <w:szCs w:val="18"/>
        </w:rPr>
        <w:t>за</w:t>
      </w:r>
      <w:proofErr w:type="spellEnd"/>
      <w:r w:rsidRPr="00150D48">
        <w:rPr>
          <w:rFonts w:ascii="Tahoma" w:hAnsi="Tahoma" w:cs="Tahoma"/>
          <w:sz w:val="18"/>
          <w:szCs w:val="18"/>
        </w:rPr>
        <w:t xml:space="preserve"> </w:t>
      </w:r>
      <w:r w:rsidRPr="00150D48">
        <w:rPr>
          <w:rFonts w:ascii="Tahoma" w:hAnsi="Tahoma" w:cs="Tahoma"/>
          <w:sz w:val="18"/>
          <w:szCs w:val="18"/>
          <w:lang w:val="sr-Cyrl-CS"/>
        </w:rPr>
        <w:t>25</w:t>
      </w:r>
      <w:r w:rsidRPr="00150D48">
        <w:rPr>
          <w:rFonts w:ascii="Tahoma" w:hAnsi="Tahoma" w:cs="Tahoma"/>
          <w:sz w:val="18"/>
          <w:szCs w:val="18"/>
          <w:lang w:val="ru-RU"/>
        </w:rPr>
        <w:t>,</w:t>
      </w:r>
      <w:r w:rsidRPr="00150D48">
        <w:rPr>
          <w:rFonts w:ascii="Tahoma" w:hAnsi="Tahoma" w:cs="Tahoma"/>
          <w:sz w:val="18"/>
          <w:szCs w:val="18"/>
          <w:lang w:val="sr-Cyrl-CS"/>
        </w:rPr>
        <w:t>3</w:t>
      </w:r>
      <w:r w:rsidRPr="00150D48">
        <w:rPr>
          <w:rFonts w:ascii="Tahoma" w:hAnsi="Tahoma" w:cs="Tahoma"/>
          <w:sz w:val="18"/>
          <w:szCs w:val="18"/>
          <w:lang w:val="ru-RU"/>
        </w:rPr>
        <w:t xml:space="preserve">%, </w:t>
      </w:r>
      <w:r w:rsidRPr="00150D48">
        <w:rPr>
          <w:rFonts w:ascii="Tahoma" w:hAnsi="Tahoma" w:cs="Tahoma"/>
          <w:i/>
          <w:sz w:val="18"/>
          <w:szCs w:val="18"/>
          <w:lang w:val="ru-RU"/>
        </w:rPr>
        <w:t>Финансијско посредовање</w:t>
      </w:r>
      <w:r w:rsidRPr="00150D48">
        <w:rPr>
          <w:rFonts w:ascii="Tahoma" w:hAnsi="Tahoma" w:cs="Tahoma"/>
          <w:sz w:val="18"/>
          <w:szCs w:val="18"/>
          <w:lang w:val="ru-RU"/>
        </w:rPr>
        <w:t xml:space="preserve"> за </w:t>
      </w:r>
      <w:r w:rsidRPr="00150D48">
        <w:rPr>
          <w:rFonts w:ascii="Tahoma" w:hAnsi="Tahoma" w:cs="Tahoma"/>
          <w:sz w:val="18"/>
          <w:szCs w:val="18"/>
          <w:lang w:val="sr-Cyrl-CS"/>
        </w:rPr>
        <w:t>4</w:t>
      </w:r>
      <w:r w:rsidRPr="00150D48">
        <w:rPr>
          <w:rFonts w:ascii="Tahoma" w:hAnsi="Tahoma" w:cs="Tahoma"/>
          <w:sz w:val="18"/>
          <w:szCs w:val="18"/>
          <w:lang w:val="ru-RU"/>
        </w:rPr>
        <w:t>,</w:t>
      </w:r>
      <w:r w:rsidRPr="00150D48">
        <w:rPr>
          <w:rFonts w:ascii="Tahoma" w:hAnsi="Tahoma" w:cs="Tahoma"/>
          <w:sz w:val="18"/>
          <w:szCs w:val="18"/>
          <w:lang w:val="sr-Cyrl-CS"/>
        </w:rPr>
        <w:t>4</w:t>
      </w:r>
      <w:r w:rsidRPr="00150D48">
        <w:rPr>
          <w:rFonts w:ascii="Tahoma" w:hAnsi="Tahoma" w:cs="Tahoma"/>
          <w:sz w:val="18"/>
          <w:szCs w:val="18"/>
          <w:lang w:val="ru-RU"/>
        </w:rPr>
        <w:t>%</w:t>
      </w:r>
      <w:r w:rsidRPr="00150D48">
        <w:rPr>
          <w:rFonts w:ascii="Tahoma" w:hAnsi="Tahoma" w:cs="Tahoma"/>
          <w:sz w:val="18"/>
          <w:szCs w:val="18"/>
        </w:rPr>
        <w:t>,</w:t>
      </w:r>
      <w:r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 w:rsidRPr="00150D48">
        <w:rPr>
          <w:rFonts w:ascii="Tahoma" w:hAnsi="Tahoma" w:cs="Tahoma"/>
          <w:i/>
          <w:sz w:val="18"/>
          <w:szCs w:val="18"/>
          <w:lang w:val="ru-RU"/>
        </w:rPr>
        <w:t>Саобраћај, складиштење и комуникације</w:t>
      </w:r>
      <w:r w:rsidRPr="00150D48">
        <w:rPr>
          <w:rFonts w:ascii="Tahoma" w:hAnsi="Tahoma" w:cs="Tahoma"/>
          <w:sz w:val="18"/>
          <w:szCs w:val="18"/>
          <w:lang w:val="ru-RU"/>
        </w:rPr>
        <w:t xml:space="preserve"> за </w:t>
      </w:r>
      <w:r w:rsidRPr="00150D48">
        <w:rPr>
          <w:rFonts w:ascii="Tahoma" w:hAnsi="Tahoma" w:cs="Tahoma"/>
          <w:sz w:val="18"/>
          <w:szCs w:val="18"/>
        </w:rPr>
        <w:t>3</w:t>
      </w:r>
      <w:r w:rsidRPr="00150D48">
        <w:rPr>
          <w:rFonts w:ascii="Tahoma" w:hAnsi="Tahoma" w:cs="Tahoma"/>
          <w:sz w:val="18"/>
          <w:szCs w:val="18"/>
          <w:lang w:val="ru-RU"/>
        </w:rPr>
        <w:t>,</w:t>
      </w:r>
      <w:r w:rsidRPr="00150D48">
        <w:rPr>
          <w:rFonts w:ascii="Tahoma" w:hAnsi="Tahoma" w:cs="Tahoma"/>
          <w:sz w:val="18"/>
          <w:szCs w:val="18"/>
          <w:lang w:val="sr-Cyrl-CS"/>
        </w:rPr>
        <w:t>4</w:t>
      </w:r>
      <w:r w:rsidRPr="00150D48">
        <w:rPr>
          <w:rFonts w:ascii="Tahoma" w:hAnsi="Tahoma" w:cs="Tahoma"/>
          <w:sz w:val="18"/>
          <w:szCs w:val="18"/>
          <w:lang w:val="ru-RU"/>
        </w:rPr>
        <w:t xml:space="preserve">%, </w:t>
      </w:r>
      <w:r w:rsidRPr="00150D48">
        <w:rPr>
          <w:rFonts w:ascii="Tahoma" w:hAnsi="Tahoma" w:cs="Tahoma"/>
          <w:i/>
          <w:sz w:val="18"/>
          <w:szCs w:val="18"/>
          <w:lang w:val="sr-Cyrl-CS"/>
        </w:rPr>
        <w:t>Пословање некретнинама,</w:t>
      </w:r>
      <w:r w:rsidRPr="00150D48">
        <w:rPr>
          <w:rFonts w:ascii="Tahoma" w:hAnsi="Tahoma" w:cs="Tahoma"/>
          <w:i/>
          <w:sz w:val="18"/>
          <w:szCs w:val="18"/>
        </w:rPr>
        <w:t xml:space="preserve"> </w:t>
      </w:r>
      <w:r w:rsidRPr="00150D48">
        <w:rPr>
          <w:rFonts w:ascii="Tahoma" w:hAnsi="Tahoma" w:cs="Tahoma"/>
          <w:i/>
          <w:sz w:val="18"/>
          <w:szCs w:val="18"/>
          <w:lang w:val="sr-Cyrl-CS"/>
        </w:rPr>
        <w:t xml:space="preserve">изнајмљивање и пословне дјелатности за </w:t>
      </w:r>
      <w:r w:rsidRPr="00150D48">
        <w:rPr>
          <w:rFonts w:ascii="Tahoma" w:hAnsi="Tahoma" w:cs="Tahoma"/>
          <w:sz w:val="18"/>
          <w:szCs w:val="18"/>
          <w:lang w:val="sr-Cyrl-CS"/>
        </w:rPr>
        <w:t>2,5%,</w:t>
      </w:r>
      <w:r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 w:rsidRPr="00150D48">
        <w:rPr>
          <w:rFonts w:ascii="Tahoma" w:hAnsi="Tahoma" w:cs="Tahoma"/>
          <w:sz w:val="18"/>
          <w:szCs w:val="18"/>
          <w:lang w:val="sr-Latn-BA" w:eastAsia="sr-Latn-BA"/>
        </w:rPr>
        <w:t xml:space="preserve">док је </w:t>
      </w:r>
      <w:r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бруто додата вриједност реално мања </w:t>
      </w:r>
      <w:r w:rsidRPr="00150D48">
        <w:rPr>
          <w:rFonts w:ascii="Tahoma" w:hAnsi="Tahoma" w:cs="Tahoma"/>
          <w:sz w:val="18"/>
          <w:szCs w:val="18"/>
          <w:lang w:val="sr-Latn-BA" w:eastAsia="sr-Latn-BA"/>
        </w:rPr>
        <w:t>у подручјима: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150D48">
        <w:rPr>
          <w:rFonts w:ascii="Tahoma" w:hAnsi="Tahoma" w:cs="Tahoma"/>
          <w:i/>
          <w:sz w:val="18"/>
          <w:szCs w:val="18"/>
          <w:lang w:val="ru-RU"/>
        </w:rPr>
        <w:t>Грађевинарство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за 14,7%, </w:t>
      </w:r>
      <w:r w:rsidRPr="00150D48">
        <w:rPr>
          <w:rFonts w:ascii="Tahoma" w:hAnsi="Tahoma" w:cs="Tahoma"/>
          <w:i/>
          <w:sz w:val="18"/>
          <w:szCs w:val="18"/>
          <w:lang w:val="ru-RU"/>
        </w:rPr>
        <w:t>Пољопривреда,</w:t>
      </w:r>
      <w:r w:rsidRPr="00150D48">
        <w:rPr>
          <w:rFonts w:ascii="Tahoma" w:hAnsi="Tahoma" w:cs="Tahoma"/>
          <w:i/>
          <w:sz w:val="18"/>
          <w:szCs w:val="18"/>
        </w:rPr>
        <w:t xml:space="preserve"> </w:t>
      </w:r>
      <w:r w:rsidRPr="00150D48">
        <w:rPr>
          <w:rFonts w:ascii="Tahoma" w:hAnsi="Tahoma" w:cs="Tahoma"/>
          <w:i/>
          <w:sz w:val="18"/>
          <w:szCs w:val="18"/>
          <w:lang w:val="ru-RU"/>
        </w:rPr>
        <w:t xml:space="preserve">лов и шумарство </w:t>
      </w:r>
      <w:r w:rsidRPr="00150D48">
        <w:rPr>
          <w:rFonts w:ascii="Tahoma" w:hAnsi="Tahoma" w:cs="Tahoma"/>
          <w:sz w:val="18"/>
          <w:szCs w:val="18"/>
          <w:lang w:val="ru-RU"/>
        </w:rPr>
        <w:t>за 4,6%,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150D48">
        <w:rPr>
          <w:rFonts w:ascii="Tahoma" w:hAnsi="Tahoma" w:cs="Tahoma"/>
          <w:i/>
          <w:sz w:val="18"/>
          <w:szCs w:val="18"/>
          <w:lang w:val="sr-Cyrl-CS"/>
        </w:rPr>
        <w:t xml:space="preserve">Рибарство 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за 3,2%, </w:t>
      </w:r>
      <w:r w:rsidRPr="00150D48">
        <w:rPr>
          <w:rFonts w:ascii="Tahoma" w:hAnsi="Tahoma" w:cs="Tahoma"/>
          <w:i/>
          <w:sz w:val="18"/>
          <w:szCs w:val="18"/>
          <w:lang w:val="ru-RU"/>
        </w:rPr>
        <w:t>Прерађивачка индустрија</w:t>
      </w:r>
      <w:r w:rsidRPr="00150D48">
        <w:rPr>
          <w:rFonts w:ascii="Tahoma" w:hAnsi="Tahoma" w:cs="Tahoma"/>
          <w:sz w:val="18"/>
          <w:szCs w:val="18"/>
          <w:lang w:val="ru-RU"/>
        </w:rPr>
        <w:t xml:space="preserve">  за  </w:t>
      </w:r>
      <w:r w:rsidRPr="00150D48">
        <w:rPr>
          <w:rFonts w:ascii="Tahoma" w:hAnsi="Tahoma" w:cs="Tahoma"/>
          <w:sz w:val="18"/>
          <w:szCs w:val="18"/>
          <w:lang w:val="sr-Cyrl-CS"/>
        </w:rPr>
        <w:t>2</w:t>
      </w:r>
      <w:r w:rsidRPr="00150D48">
        <w:rPr>
          <w:rFonts w:ascii="Tahoma" w:hAnsi="Tahoma" w:cs="Tahoma"/>
          <w:sz w:val="18"/>
          <w:szCs w:val="18"/>
          <w:lang w:val="ru-RU"/>
        </w:rPr>
        <w:t>,</w:t>
      </w:r>
      <w:r w:rsidRPr="00150D48">
        <w:rPr>
          <w:rFonts w:ascii="Tahoma" w:hAnsi="Tahoma" w:cs="Tahoma"/>
          <w:sz w:val="18"/>
          <w:szCs w:val="18"/>
          <w:lang w:val="sr-Cyrl-CS"/>
        </w:rPr>
        <w:t>4</w:t>
      </w:r>
      <w:r w:rsidRPr="00150D48">
        <w:rPr>
          <w:rFonts w:ascii="Tahoma" w:hAnsi="Tahoma" w:cs="Tahoma"/>
          <w:sz w:val="18"/>
          <w:szCs w:val="18"/>
          <w:lang w:val="ru-RU"/>
        </w:rPr>
        <w:t xml:space="preserve">%, </w:t>
      </w:r>
      <w:r w:rsidRPr="00150D48">
        <w:rPr>
          <w:rFonts w:ascii="Tahoma" w:hAnsi="Tahoma" w:cs="Tahoma"/>
          <w:i/>
          <w:sz w:val="18"/>
          <w:szCs w:val="18"/>
          <w:lang w:val="sr-Cyrl-CS"/>
        </w:rPr>
        <w:t>Угоститељство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 за 0,4% и </w:t>
      </w:r>
      <w:r w:rsidRPr="00150D48">
        <w:rPr>
          <w:rFonts w:ascii="Tahoma" w:hAnsi="Tahoma" w:cs="Tahoma"/>
          <w:i/>
          <w:sz w:val="18"/>
          <w:szCs w:val="18"/>
          <w:lang w:val="sr-Cyrl-CS"/>
        </w:rPr>
        <w:t>Државна управа,одбрана и обавезно социјално осигурање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за 0,2%.</w:t>
      </w:r>
    </w:p>
    <w:p w:rsidR="00027772" w:rsidRPr="00150D48" w:rsidRDefault="00027772" w:rsidP="00027772">
      <w:pPr>
        <w:jc w:val="both"/>
        <w:rPr>
          <w:rFonts w:ascii="Tahoma" w:hAnsi="Tahoma" w:cs="Tahoma"/>
          <w:lang w:val="sr-Cyrl-CS"/>
        </w:rPr>
      </w:pPr>
    </w:p>
    <w:p w:rsidR="00027772" w:rsidRPr="00150D48" w:rsidRDefault="00027772" w:rsidP="0002777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sr-Cyrl-CS" w:eastAsia="sr-Latn-BA"/>
        </w:rPr>
      </w:pPr>
      <w:r w:rsidRPr="00150D48">
        <w:rPr>
          <w:rFonts w:ascii="Tahoma" w:hAnsi="Tahoma" w:cs="Tahoma"/>
          <w:sz w:val="18"/>
          <w:szCs w:val="18"/>
          <w:lang w:val="sr-Latn-BA" w:eastAsia="sr-Latn-BA"/>
        </w:rPr>
        <w:t>У земљама из окружења</w:t>
      </w:r>
      <w:r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 забиљежене су сљедеће стопе  реалног раста бруто домаћег производа за треће тромјесечје 2011.</w:t>
      </w:r>
      <w:r w:rsidR="009F59A8">
        <w:rPr>
          <w:rFonts w:ascii="Tahoma" w:hAnsi="Tahoma" w:cs="Tahoma"/>
          <w:sz w:val="18"/>
          <w:szCs w:val="18"/>
          <w:lang w:eastAsia="sr-Latn-BA"/>
        </w:rPr>
        <w:t xml:space="preserve"> </w:t>
      </w:r>
      <w:r w:rsidRPr="00150D48">
        <w:rPr>
          <w:rFonts w:ascii="Tahoma" w:hAnsi="Tahoma" w:cs="Tahoma"/>
          <w:sz w:val="18"/>
          <w:szCs w:val="18"/>
          <w:lang w:val="sr-Cyrl-CS" w:eastAsia="sr-Latn-BA"/>
        </w:rPr>
        <w:t>године у односу на исто тромјесечје 2010.</w:t>
      </w:r>
      <w:r w:rsidR="009F59A8">
        <w:rPr>
          <w:rFonts w:ascii="Tahoma" w:hAnsi="Tahoma" w:cs="Tahoma"/>
          <w:sz w:val="18"/>
          <w:szCs w:val="18"/>
          <w:lang w:eastAsia="sr-Latn-BA"/>
        </w:rPr>
        <w:t xml:space="preserve"> </w:t>
      </w:r>
      <w:r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године и то: Македонија </w:t>
      </w:r>
      <w:r w:rsidRPr="00150D48">
        <w:rPr>
          <w:rFonts w:ascii="Tahoma" w:hAnsi="Tahoma" w:cs="Tahoma"/>
          <w:sz w:val="18"/>
          <w:szCs w:val="18"/>
          <w:lang w:eastAsia="sr-Latn-BA"/>
        </w:rPr>
        <w:t>2,3</w:t>
      </w:r>
      <w:r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%, Србија 0,7%, Хрватска 0,7% и  Словенија (-0,5%). </w:t>
      </w:r>
    </w:p>
    <w:p w:rsidR="00027772" w:rsidRPr="00150D48" w:rsidRDefault="00027772" w:rsidP="00027772">
      <w:pPr>
        <w:rPr>
          <w:rFonts w:ascii="Tahoma" w:hAnsi="Tahoma" w:cs="Tahoma"/>
          <w:lang w:val="sr-Cyrl-CS"/>
        </w:rPr>
      </w:pPr>
    </w:p>
    <w:p w:rsidR="00027772" w:rsidRPr="00150D48" w:rsidRDefault="00027772" w:rsidP="00027772">
      <w:pPr>
        <w:rPr>
          <w:rFonts w:ascii="Tahoma" w:hAnsi="Tahoma" w:cs="Tahoma"/>
          <w:lang w:val="sr-Cyrl-CS"/>
        </w:rPr>
      </w:pPr>
    </w:p>
    <w:p w:rsidR="00027772" w:rsidRPr="00150D48" w:rsidRDefault="00027772" w:rsidP="00027772">
      <w:pPr>
        <w:rPr>
          <w:rFonts w:ascii="Tahoma" w:hAnsi="Tahoma" w:cs="Tahoma"/>
          <w:lang w:val="sr-Cyrl-CS"/>
        </w:rPr>
      </w:pPr>
      <w:r w:rsidRPr="00150D48">
        <w:rPr>
          <w:rFonts w:ascii="Tahoma" w:hAnsi="Tahoma" w:cs="Tahoma"/>
          <w:lang w:val="sr-Cyrl-CS"/>
        </w:rPr>
        <w:tab/>
      </w:r>
    </w:p>
    <w:p w:rsidR="00027772" w:rsidRPr="00150D48" w:rsidRDefault="00027772" w:rsidP="00027772">
      <w:pPr>
        <w:tabs>
          <w:tab w:val="left" w:pos="1985"/>
        </w:tabs>
        <w:rPr>
          <w:rFonts w:ascii="Tahoma" w:hAnsi="Tahoma" w:cs="Tahoma"/>
          <w:lang w:val="sr-Cyrl-CS"/>
        </w:rPr>
      </w:pPr>
    </w:p>
    <w:tbl>
      <w:tblPr>
        <w:tblW w:w="9422" w:type="dxa"/>
        <w:tblInd w:w="108" w:type="dxa"/>
        <w:tblLook w:val="04A0"/>
      </w:tblPr>
      <w:tblGrid>
        <w:gridCol w:w="1505"/>
        <w:gridCol w:w="7917"/>
      </w:tblGrid>
      <w:tr w:rsidR="00E92C59" w:rsidRPr="00150D48" w:rsidTr="00E92C59">
        <w:trPr>
          <w:trHeight w:val="242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59" w:rsidRPr="00150D48" w:rsidRDefault="00E92C59" w:rsidP="0006677A">
            <w:pPr>
              <w:rPr>
                <w:rFonts w:ascii="Calibri" w:hAnsi="Calibri"/>
                <w:sz w:val="22"/>
                <w:szCs w:val="22"/>
                <w:lang w:val="sr-Latn-BA" w:eastAsia="sr-Latn-BA"/>
              </w:rPr>
            </w:pPr>
          </w:p>
        </w:tc>
        <w:tc>
          <w:tcPr>
            <w:tcW w:w="7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59" w:rsidRPr="00150D48" w:rsidRDefault="00E92C59" w:rsidP="0006677A">
            <w:pPr>
              <w:rPr>
                <w:rFonts w:ascii="Calibri" w:hAnsi="Calibri"/>
                <w:sz w:val="18"/>
                <w:szCs w:val="18"/>
                <w:lang w:val="sr-Cyrl-CS" w:eastAsia="sr-Latn-BA"/>
              </w:rPr>
            </w:pPr>
            <w:r w:rsidRPr="00150D48">
              <w:rPr>
                <w:rFonts w:ascii="Calibri" w:hAnsi="Calibri"/>
                <w:noProof/>
                <w:sz w:val="18"/>
                <w:szCs w:val="18"/>
              </w:rPr>
              <w:drawing>
                <wp:inline distT="0" distB="0" distL="0" distR="0">
                  <wp:extent cx="4890135" cy="2926080"/>
                  <wp:effectExtent l="0" t="0" r="0" b="0"/>
                  <wp:docPr id="1" name="Char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FB6D41" w:rsidRPr="00150D48" w:rsidRDefault="00FB6D41" w:rsidP="00AB7277">
      <w:pPr>
        <w:rPr>
          <w:rFonts w:ascii="Tahoma" w:hAnsi="Tahoma" w:cs="Tahoma"/>
          <w:sz w:val="24"/>
          <w:szCs w:val="24"/>
        </w:rPr>
      </w:pPr>
    </w:p>
    <w:p w:rsidR="00E92C59" w:rsidRPr="00150D48" w:rsidRDefault="00E92C59" w:rsidP="00E92C59">
      <w:pPr>
        <w:jc w:val="center"/>
        <w:rPr>
          <w:rFonts w:ascii="Tahoma" w:hAnsi="Tahoma" w:cs="Tahoma"/>
          <w:lang w:val="sr-Cyrl-CS"/>
        </w:rPr>
      </w:pPr>
      <w:r w:rsidRPr="00150D48">
        <w:rPr>
          <w:rFonts w:ascii="Tahoma" w:hAnsi="Tahoma" w:cs="Tahoma"/>
          <w:sz w:val="18"/>
          <w:szCs w:val="18"/>
          <w:lang w:val="sr-Cyrl-CS" w:eastAsia="sr-Latn-BA"/>
        </w:rPr>
        <w:t>Графикон 1</w:t>
      </w:r>
      <w:r w:rsidRPr="00150D48">
        <w:rPr>
          <w:rFonts w:ascii="Calibri" w:hAnsi="Calibri"/>
          <w:sz w:val="18"/>
          <w:szCs w:val="18"/>
          <w:lang w:eastAsia="sr-Latn-BA"/>
        </w:rPr>
        <w:t>.</w:t>
      </w:r>
      <w:r w:rsidRPr="00150D48">
        <w:rPr>
          <w:rFonts w:ascii="Calibri" w:hAnsi="Calibri"/>
          <w:sz w:val="18"/>
          <w:szCs w:val="18"/>
          <w:lang w:val="sr-Cyrl-CS" w:eastAsia="sr-Latn-BA"/>
        </w:rPr>
        <w:t xml:space="preserve"> </w:t>
      </w:r>
      <w:r w:rsidRPr="00150D48">
        <w:rPr>
          <w:rFonts w:ascii="Tahoma" w:hAnsi="Tahoma" w:cs="Tahoma"/>
          <w:sz w:val="18"/>
          <w:szCs w:val="18"/>
          <w:lang w:val="sr-Cyrl-CS" w:eastAsia="sr-Latn-BA"/>
        </w:rPr>
        <w:t>Стопе реалног раста</w:t>
      </w:r>
      <w:r w:rsidRPr="00150D48">
        <w:rPr>
          <w:rFonts w:ascii="Tahoma" w:hAnsi="Tahoma" w:cs="Tahoma"/>
          <w:sz w:val="18"/>
          <w:szCs w:val="18"/>
          <w:lang w:eastAsia="sr-Latn-BA"/>
        </w:rPr>
        <w:t xml:space="preserve"> БДП,</w:t>
      </w:r>
      <w:r w:rsidRPr="00150D48">
        <w:rPr>
          <w:rFonts w:ascii="Tahoma" w:hAnsi="Tahoma" w:cs="Tahoma"/>
          <w:sz w:val="18"/>
          <w:szCs w:val="18"/>
          <w:lang w:val="sr-Cyrl-CS" w:eastAsia="sr-Latn-BA"/>
        </w:rPr>
        <w:t xml:space="preserve"> п</w:t>
      </w:r>
      <w:r w:rsidRPr="00150D48">
        <w:rPr>
          <w:rFonts w:ascii="Tahoma" w:hAnsi="Tahoma" w:cs="Tahoma"/>
          <w:sz w:val="18"/>
          <w:szCs w:val="18"/>
          <w:lang w:val="sr-Latn-BA" w:eastAsia="sr-Latn-BA"/>
        </w:rPr>
        <w:t>ромјене у односу на исто тромјесечје претходне године</w:t>
      </w:r>
    </w:p>
    <w:p w:rsidR="00DC3BA1" w:rsidRPr="00150D48" w:rsidRDefault="00DC3BA1" w:rsidP="00AB7277">
      <w:pPr>
        <w:rPr>
          <w:rFonts w:ascii="Tahoma" w:hAnsi="Tahoma" w:cs="Tahoma"/>
          <w:sz w:val="24"/>
          <w:szCs w:val="24"/>
        </w:rPr>
      </w:pPr>
    </w:p>
    <w:p w:rsidR="00DC3BA1" w:rsidRPr="00150D48" w:rsidRDefault="00DC3BA1" w:rsidP="006E3A3E">
      <w:pPr>
        <w:ind w:left="-142"/>
        <w:rPr>
          <w:rFonts w:ascii="Tahoma" w:hAnsi="Tahoma" w:cs="Tahoma"/>
          <w:sz w:val="24"/>
          <w:szCs w:val="24"/>
        </w:rPr>
      </w:pPr>
    </w:p>
    <w:p w:rsidR="00DC3BA1" w:rsidRPr="00150D48" w:rsidRDefault="00DC3BA1" w:rsidP="006E3A3E">
      <w:pPr>
        <w:ind w:left="-142"/>
        <w:rPr>
          <w:rFonts w:ascii="Tahoma" w:hAnsi="Tahoma" w:cs="Tahoma"/>
          <w:sz w:val="24"/>
          <w:szCs w:val="24"/>
        </w:rPr>
      </w:pPr>
    </w:p>
    <w:p w:rsidR="00E92C59" w:rsidRPr="00150D48" w:rsidRDefault="00E92C59" w:rsidP="006E3A3E">
      <w:pPr>
        <w:ind w:left="-142"/>
        <w:rPr>
          <w:rFonts w:ascii="Tahoma" w:hAnsi="Tahoma" w:cs="Tahoma"/>
          <w:sz w:val="24"/>
          <w:szCs w:val="24"/>
        </w:rPr>
      </w:pPr>
    </w:p>
    <w:p w:rsidR="00E92C59" w:rsidRPr="00150D48" w:rsidRDefault="00E92C59" w:rsidP="006E3A3E">
      <w:pPr>
        <w:ind w:left="-142"/>
        <w:rPr>
          <w:rFonts w:ascii="Tahoma" w:hAnsi="Tahoma" w:cs="Tahoma"/>
          <w:sz w:val="24"/>
          <w:szCs w:val="24"/>
        </w:rPr>
      </w:pPr>
    </w:p>
    <w:p w:rsidR="00E92C59" w:rsidRPr="00150D48" w:rsidRDefault="00E92C59" w:rsidP="006E3A3E">
      <w:pPr>
        <w:ind w:left="-142"/>
        <w:rPr>
          <w:rFonts w:ascii="Tahoma" w:hAnsi="Tahoma" w:cs="Tahoma"/>
          <w:sz w:val="24"/>
          <w:szCs w:val="24"/>
        </w:rPr>
      </w:pPr>
    </w:p>
    <w:p w:rsidR="00E92C59" w:rsidRPr="00150D48" w:rsidRDefault="00E92C59" w:rsidP="006E3A3E">
      <w:pPr>
        <w:ind w:left="-142"/>
        <w:rPr>
          <w:rFonts w:ascii="Tahoma" w:hAnsi="Tahoma" w:cs="Tahoma"/>
          <w:sz w:val="24"/>
          <w:szCs w:val="24"/>
        </w:rPr>
      </w:pPr>
    </w:p>
    <w:p w:rsidR="00E92C59" w:rsidRPr="00150D48" w:rsidRDefault="00E92C59" w:rsidP="006E3A3E">
      <w:pPr>
        <w:ind w:left="-142"/>
        <w:rPr>
          <w:rFonts w:ascii="Tahoma" w:hAnsi="Tahoma" w:cs="Tahoma"/>
          <w:sz w:val="24"/>
          <w:szCs w:val="24"/>
        </w:rPr>
      </w:pPr>
    </w:p>
    <w:p w:rsidR="00E92C59" w:rsidRPr="00150D48" w:rsidRDefault="00E92C59" w:rsidP="006E3A3E">
      <w:pPr>
        <w:ind w:left="-142"/>
        <w:rPr>
          <w:rFonts w:ascii="Tahoma" w:hAnsi="Tahoma" w:cs="Tahoma"/>
          <w:sz w:val="24"/>
          <w:szCs w:val="24"/>
        </w:rPr>
      </w:pPr>
    </w:p>
    <w:p w:rsidR="00E92C59" w:rsidRPr="00150D48" w:rsidRDefault="00E92C59" w:rsidP="006E3A3E">
      <w:pPr>
        <w:ind w:left="-142"/>
        <w:rPr>
          <w:rFonts w:ascii="Tahoma" w:hAnsi="Tahoma" w:cs="Tahoma"/>
          <w:sz w:val="24"/>
          <w:szCs w:val="24"/>
        </w:rPr>
      </w:pPr>
    </w:p>
    <w:p w:rsidR="00FB6D41" w:rsidRPr="00150D48" w:rsidRDefault="00FB6D41" w:rsidP="009B294C">
      <w:pPr>
        <w:rPr>
          <w:rFonts w:ascii="Calibri" w:hAnsi="Calibri"/>
          <w:sz w:val="18"/>
          <w:szCs w:val="18"/>
          <w:lang w:eastAsia="sr-Latn-BA"/>
        </w:rPr>
      </w:pPr>
    </w:p>
    <w:p w:rsidR="005E0301" w:rsidRPr="00150D48" w:rsidRDefault="00E324C6" w:rsidP="009B294C">
      <w:pPr>
        <w:rPr>
          <w:rFonts w:ascii="Tahoma" w:hAnsi="Tahoma" w:cs="Tahoma"/>
          <w:b/>
          <w:sz w:val="28"/>
          <w:szCs w:val="28"/>
        </w:rPr>
      </w:pPr>
      <w:r w:rsidRPr="00150D48">
        <w:rPr>
          <w:rFonts w:ascii="Tahoma" w:hAnsi="Tahoma" w:cs="Tahoma"/>
          <w:b/>
          <w:sz w:val="28"/>
          <w:szCs w:val="28"/>
          <w:lang w:val="sr-Cyrl-CS"/>
        </w:rPr>
        <w:t>П</w:t>
      </w:r>
      <w:r w:rsidR="00C6075B" w:rsidRPr="00150D48">
        <w:rPr>
          <w:rFonts w:ascii="Tahoma" w:hAnsi="Tahoma" w:cs="Tahoma"/>
          <w:b/>
          <w:sz w:val="28"/>
          <w:szCs w:val="28"/>
          <w:lang w:val="sr-Cyrl-CS"/>
        </w:rPr>
        <w:t>росјечн</w:t>
      </w:r>
      <w:r w:rsidR="00C6075B" w:rsidRPr="00150D48">
        <w:rPr>
          <w:rFonts w:ascii="Tahoma" w:hAnsi="Tahoma" w:cs="Tahoma"/>
          <w:b/>
          <w:sz w:val="28"/>
          <w:szCs w:val="28"/>
          <w:lang w:val="ru-RU"/>
        </w:rPr>
        <w:t xml:space="preserve">а </w:t>
      </w:r>
      <w:r w:rsidR="00C6075B" w:rsidRPr="00150D48">
        <w:rPr>
          <w:rFonts w:ascii="Tahoma" w:hAnsi="Tahoma" w:cs="Tahoma"/>
          <w:b/>
          <w:sz w:val="28"/>
          <w:szCs w:val="28"/>
          <w:lang w:val="sr-Cyrl-CS"/>
        </w:rPr>
        <w:t>нето плата</w:t>
      </w:r>
      <w:r w:rsidR="00C6075B" w:rsidRPr="00150D48">
        <w:rPr>
          <w:rFonts w:ascii="Tahoma" w:hAnsi="Tahoma" w:cs="Tahoma"/>
          <w:b/>
          <w:sz w:val="28"/>
          <w:szCs w:val="28"/>
          <w:lang w:val="ru-RU"/>
        </w:rPr>
        <w:t xml:space="preserve"> у </w:t>
      </w:r>
      <w:r w:rsidR="0006677A" w:rsidRPr="00150D48">
        <w:rPr>
          <w:rFonts w:ascii="Tahoma" w:hAnsi="Tahoma" w:cs="Tahoma"/>
          <w:b/>
          <w:sz w:val="28"/>
          <w:szCs w:val="28"/>
          <w:lang w:val="sr-Cyrl-CS"/>
        </w:rPr>
        <w:t>новембру</w:t>
      </w:r>
      <w:r w:rsidR="0032304A" w:rsidRPr="00150D48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0668D4" w:rsidRPr="00150D48">
        <w:rPr>
          <w:rFonts w:ascii="Tahoma" w:hAnsi="Tahoma" w:cs="Tahoma"/>
          <w:b/>
          <w:sz w:val="28"/>
          <w:szCs w:val="28"/>
          <w:lang w:val="sr-Cyrl-CS"/>
        </w:rPr>
        <w:t>8</w:t>
      </w:r>
      <w:r w:rsidR="0006677A" w:rsidRPr="00150D48">
        <w:rPr>
          <w:rFonts w:ascii="Tahoma" w:hAnsi="Tahoma" w:cs="Tahoma"/>
          <w:b/>
          <w:sz w:val="28"/>
          <w:szCs w:val="28"/>
          <w:lang w:val="sr-Cyrl-CS"/>
        </w:rPr>
        <w:t>13</w:t>
      </w:r>
      <w:r w:rsidR="000668D4" w:rsidRPr="00150D48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="00A727AE" w:rsidRPr="00150D48">
        <w:rPr>
          <w:rFonts w:ascii="Tahoma" w:hAnsi="Tahoma" w:cs="Tahoma"/>
          <w:b/>
          <w:sz w:val="28"/>
          <w:szCs w:val="28"/>
          <w:lang w:val="ru-RU"/>
        </w:rPr>
        <w:t>КМ</w:t>
      </w:r>
    </w:p>
    <w:p w:rsidR="005E0301" w:rsidRPr="00150D48" w:rsidRDefault="005E0301" w:rsidP="0020048F">
      <w:pPr>
        <w:tabs>
          <w:tab w:val="left" w:pos="4343"/>
        </w:tabs>
        <w:jc w:val="both"/>
        <w:rPr>
          <w:rFonts w:ascii="Tahoma" w:hAnsi="Tahoma" w:cs="Tahoma"/>
          <w:sz w:val="24"/>
          <w:szCs w:val="24"/>
          <w:lang w:val="ru-RU"/>
        </w:rPr>
      </w:pPr>
      <w:r w:rsidRPr="00150D48">
        <w:rPr>
          <w:rFonts w:ascii="Tahoma" w:hAnsi="Tahoma" w:cs="Tahoma"/>
          <w:sz w:val="24"/>
          <w:szCs w:val="24"/>
          <w:lang w:val="ru-RU"/>
        </w:rPr>
        <w:t>Највиша просјечна нето плата у подручју</w:t>
      </w:r>
      <w:r w:rsidRPr="00150D48">
        <w:rPr>
          <w:rFonts w:ascii="Tahoma" w:hAnsi="Tahoma" w:cs="Tahoma"/>
          <w:sz w:val="24"/>
          <w:szCs w:val="24"/>
          <w:lang w:val="sr-Cyrl-CS"/>
        </w:rPr>
        <w:t xml:space="preserve"> </w:t>
      </w:r>
      <w:r w:rsidRPr="00150D48">
        <w:rPr>
          <w:rFonts w:ascii="Tahoma" w:hAnsi="Tahoma" w:cs="Tahoma"/>
          <w:i/>
          <w:sz w:val="24"/>
          <w:szCs w:val="24"/>
          <w:lang w:val="ru-RU"/>
        </w:rPr>
        <w:t>Финансијско посредовање</w:t>
      </w:r>
      <w:r w:rsidR="00B61F72" w:rsidRPr="00150D48">
        <w:rPr>
          <w:rFonts w:ascii="Tahoma" w:hAnsi="Tahoma" w:cs="Tahoma"/>
          <w:sz w:val="24"/>
          <w:szCs w:val="24"/>
          <w:lang w:val="ru-RU"/>
        </w:rPr>
        <w:t xml:space="preserve"> </w:t>
      </w:r>
      <w:r w:rsidRPr="00150D48">
        <w:rPr>
          <w:rFonts w:ascii="Tahoma" w:hAnsi="Tahoma" w:cs="Tahoma"/>
          <w:sz w:val="24"/>
          <w:szCs w:val="24"/>
          <w:lang w:val="ru-RU"/>
        </w:rPr>
        <w:t xml:space="preserve">1 </w:t>
      </w:r>
      <w:r w:rsidR="0032304A" w:rsidRPr="00150D48">
        <w:rPr>
          <w:rFonts w:ascii="Tahoma" w:hAnsi="Tahoma" w:cs="Tahoma"/>
          <w:sz w:val="24"/>
          <w:szCs w:val="24"/>
          <w:lang w:val="sr-Cyrl-CS"/>
        </w:rPr>
        <w:t>2</w:t>
      </w:r>
      <w:r w:rsidR="00DE329F" w:rsidRPr="00150D48">
        <w:rPr>
          <w:rFonts w:ascii="Tahoma" w:hAnsi="Tahoma" w:cs="Tahoma"/>
          <w:sz w:val="24"/>
          <w:szCs w:val="24"/>
          <w:lang w:val="sr-Cyrl-CS"/>
        </w:rPr>
        <w:t>3</w:t>
      </w:r>
      <w:r w:rsidR="0006677A" w:rsidRPr="00150D48">
        <w:rPr>
          <w:rFonts w:ascii="Tahoma" w:hAnsi="Tahoma" w:cs="Tahoma"/>
          <w:sz w:val="24"/>
          <w:szCs w:val="24"/>
          <w:lang w:val="sr-Cyrl-CS"/>
        </w:rPr>
        <w:t>5</w:t>
      </w:r>
      <w:r w:rsidR="00B61F72" w:rsidRPr="00150D48">
        <w:rPr>
          <w:rFonts w:ascii="Tahoma" w:hAnsi="Tahoma" w:cs="Tahoma"/>
          <w:sz w:val="24"/>
          <w:szCs w:val="24"/>
          <w:lang w:val="ru-RU"/>
        </w:rPr>
        <w:t xml:space="preserve"> </w:t>
      </w:r>
      <w:r w:rsidRPr="00150D48">
        <w:rPr>
          <w:rFonts w:ascii="Tahoma" w:hAnsi="Tahoma" w:cs="Tahoma"/>
          <w:sz w:val="24"/>
          <w:szCs w:val="24"/>
          <w:lang w:val="ru-RU"/>
        </w:rPr>
        <w:t>КМ</w:t>
      </w:r>
      <w:r w:rsidRPr="00150D48">
        <w:rPr>
          <w:rFonts w:ascii="Tahoma" w:hAnsi="Tahoma" w:cs="Tahoma"/>
          <w:sz w:val="24"/>
          <w:szCs w:val="24"/>
          <w:lang w:val="sr-Cyrl-CS"/>
        </w:rPr>
        <w:t xml:space="preserve">, најнижа у подручју </w:t>
      </w:r>
      <w:r w:rsidR="00D36059" w:rsidRPr="00150D48">
        <w:rPr>
          <w:rFonts w:ascii="Tahoma" w:hAnsi="Tahoma" w:cs="Tahoma"/>
          <w:i/>
          <w:sz w:val="24"/>
          <w:szCs w:val="24"/>
          <w:lang w:val="sr-Cyrl-CS"/>
        </w:rPr>
        <w:t>Угоститељство</w:t>
      </w:r>
      <w:r w:rsidR="00DE329F" w:rsidRPr="00150D48">
        <w:rPr>
          <w:rFonts w:ascii="Tahoma" w:hAnsi="Tahoma" w:cs="Tahoma"/>
          <w:sz w:val="24"/>
          <w:szCs w:val="24"/>
          <w:lang w:val="sr-Cyrl-CS"/>
        </w:rPr>
        <w:t xml:space="preserve"> 5</w:t>
      </w:r>
      <w:r w:rsidR="0006677A" w:rsidRPr="00150D48">
        <w:rPr>
          <w:rFonts w:ascii="Tahoma" w:hAnsi="Tahoma" w:cs="Tahoma"/>
          <w:sz w:val="24"/>
          <w:szCs w:val="24"/>
          <w:lang w:val="sr-Cyrl-CS"/>
        </w:rPr>
        <w:t>52</w:t>
      </w:r>
      <w:r w:rsidR="0032304A" w:rsidRPr="00150D48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6869EB" w:rsidRPr="00150D48">
        <w:rPr>
          <w:rFonts w:ascii="Tahoma" w:hAnsi="Tahoma" w:cs="Tahoma"/>
          <w:sz w:val="24"/>
          <w:szCs w:val="24"/>
          <w:lang w:val="sr-Cyrl-CS"/>
        </w:rPr>
        <w:t>КМ</w:t>
      </w:r>
    </w:p>
    <w:p w:rsidR="005E0301" w:rsidRPr="00150D48" w:rsidRDefault="005E0301" w:rsidP="0020048F">
      <w:pPr>
        <w:tabs>
          <w:tab w:val="left" w:pos="4343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</w:p>
    <w:p w:rsidR="00FF2825" w:rsidRPr="00150D48" w:rsidRDefault="00FF2825" w:rsidP="00FF2825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150D48">
        <w:rPr>
          <w:rFonts w:ascii="Tahoma" w:hAnsi="Tahoma" w:cs="Tahoma"/>
          <w:b/>
          <w:sz w:val="18"/>
          <w:szCs w:val="18"/>
          <w:lang w:val="sr-Cyrl-BA"/>
        </w:rPr>
        <w:t>П</w:t>
      </w:r>
      <w:r w:rsidRPr="00150D48">
        <w:rPr>
          <w:rFonts w:ascii="Tahoma" w:hAnsi="Tahoma" w:cs="Tahoma"/>
          <w:b/>
          <w:sz w:val="18"/>
          <w:szCs w:val="18"/>
          <w:lang w:val="sr-Cyrl-CS"/>
        </w:rPr>
        <w:t>росјечна</w:t>
      </w:r>
      <w:r w:rsidRPr="00150D48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 w:rsidRPr="00150D48">
        <w:rPr>
          <w:rFonts w:ascii="Tahoma" w:hAnsi="Tahoma" w:cs="Tahoma"/>
          <w:b/>
          <w:sz w:val="18"/>
          <w:szCs w:val="18"/>
          <w:lang w:val="sr-Cyrl-CS"/>
        </w:rPr>
        <w:t>мјесечна нето плата</w:t>
      </w:r>
      <w:r w:rsidRPr="00150D48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 w:rsidRPr="00150D48">
        <w:rPr>
          <w:rFonts w:ascii="Tahoma" w:hAnsi="Tahoma" w:cs="Tahoma"/>
          <w:sz w:val="18"/>
          <w:szCs w:val="18"/>
          <w:lang w:val="sr-Cyrl-CS"/>
        </w:rPr>
        <w:t>запослених у Републици Српској,</w:t>
      </w:r>
      <w:r w:rsidRPr="00150D48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 xml:space="preserve">исплаћена у </w:t>
      </w:r>
      <w:r w:rsidR="0006677A" w:rsidRPr="00150D48">
        <w:rPr>
          <w:rFonts w:ascii="Tahoma" w:hAnsi="Tahoma" w:cs="Tahoma"/>
          <w:sz w:val="18"/>
          <w:szCs w:val="18"/>
          <w:lang w:val="sr-Cyrl-CS"/>
        </w:rPr>
        <w:t>новем</w:t>
      </w:r>
      <w:r w:rsidRPr="00150D48">
        <w:rPr>
          <w:rFonts w:ascii="Tahoma" w:hAnsi="Tahoma" w:cs="Tahoma"/>
          <w:sz w:val="18"/>
          <w:szCs w:val="18"/>
          <w:lang w:val="sr-Cyrl-CS"/>
        </w:rPr>
        <w:t>бру 2011.</w:t>
      </w:r>
      <w:r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 w:rsidRPr="00150D48">
        <w:rPr>
          <w:rFonts w:ascii="Tahoma" w:hAnsi="Tahoma" w:cs="Tahoma"/>
          <w:sz w:val="18"/>
          <w:szCs w:val="18"/>
          <w:lang w:val="sr-Cyrl-CS"/>
        </w:rPr>
        <w:t>године износи</w:t>
      </w:r>
      <w:r w:rsidRPr="00150D48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>8</w:t>
      </w:r>
      <w:r w:rsidR="0006677A" w:rsidRPr="00150D48">
        <w:rPr>
          <w:rFonts w:ascii="Tahoma" w:hAnsi="Tahoma" w:cs="Tahoma"/>
          <w:sz w:val="18"/>
          <w:szCs w:val="18"/>
          <w:lang w:val="sr-Cyrl-CS"/>
        </w:rPr>
        <w:t>13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КМ</w:t>
      </w:r>
      <w:r w:rsidRPr="00150D48">
        <w:rPr>
          <w:rFonts w:ascii="Tahoma" w:hAnsi="Tahoma" w:cs="Tahoma"/>
          <w:sz w:val="18"/>
          <w:szCs w:val="18"/>
          <w:lang w:val="hr-HR"/>
        </w:rPr>
        <w:t>,</w:t>
      </w:r>
      <w:r w:rsidRPr="00150D48">
        <w:rPr>
          <w:rFonts w:ascii="Tahoma" w:hAnsi="Tahoma" w:cs="Tahoma"/>
          <w:sz w:val="18"/>
          <w:szCs w:val="18"/>
          <w:lang w:val="ru-RU"/>
        </w:rPr>
        <w:t xml:space="preserve"> а п</w:t>
      </w:r>
      <w:r w:rsidRPr="00150D48">
        <w:rPr>
          <w:rFonts w:ascii="Tahoma" w:hAnsi="Tahoma" w:cs="Tahoma"/>
          <w:sz w:val="18"/>
          <w:szCs w:val="18"/>
          <w:lang w:val="sr-Cyrl-CS"/>
        </w:rPr>
        <w:t>росјечна</w:t>
      </w:r>
      <w:r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 w:rsidRPr="00150D48">
        <w:rPr>
          <w:rFonts w:ascii="Tahoma" w:hAnsi="Tahoma" w:cs="Tahoma"/>
          <w:sz w:val="18"/>
          <w:szCs w:val="18"/>
          <w:lang w:val="sr-Cyrl-CS"/>
        </w:rPr>
        <w:t>мјесечна бруто плата</w:t>
      </w:r>
      <w:r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>1 3</w:t>
      </w:r>
      <w:r w:rsidR="0006677A" w:rsidRPr="00150D48">
        <w:rPr>
          <w:rFonts w:ascii="Tahoma" w:hAnsi="Tahoma" w:cs="Tahoma"/>
          <w:sz w:val="18"/>
          <w:szCs w:val="18"/>
          <w:lang w:val="sr-Cyrl-CS"/>
        </w:rPr>
        <w:t>41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КМ. </w:t>
      </w:r>
    </w:p>
    <w:p w:rsidR="00FF2825" w:rsidRPr="00150D48" w:rsidRDefault="00FF2825" w:rsidP="00FF2825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FF2825" w:rsidRPr="00150D48" w:rsidRDefault="00DE329F" w:rsidP="00FF2825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BA"/>
        </w:rPr>
      </w:pPr>
      <w:r w:rsidRPr="00150D48">
        <w:rPr>
          <w:rFonts w:ascii="Tahoma" w:hAnsi="Tahoma" w:cs="Tahoma"/>
          <w:sz w:val="18"/>
          <w:szCs w:val="18"/>
          <w:lang w:val="sr-Cyrl-BA"/>
        </w:rPr>
        <w:t>У периоду јануар-</w:t>
      </w:r>
      <w:r w:rsidR="0006677A" w:rsidRPr="00150D48">
        <w:rPr>
          <w:rFonts w:ascii="Tahoma" w:hAnsi="Tahoma" w:cs="Tahoma"/>
          <w:sz w:val="18"/>
          <w:szCs w:val="18"/>
          <w:lang w:val="sr-Cyrl-BA"/>
        </w:rPr>
        <w:t>новем</w:t>
      </w:r>
      <w:r w:rsidR="00FF2825" w:rsidRPr="00150D48">
        <w:rPr>
          <w:rFonts w:ascii="Tahoma" w:hAnsi="Tahoma" w:cs="Tahoma"/>
          <w:sz w:val="18"/>
          <w:szCs w:val="18"/>
          <w:lang w:val="sr-Cyrl-BA"/>
        </w:rPr>
        <w:t xml:space="preserve">бар 2011. године просјечна нето плата </w:t>
      </w:r>
      <w:r w:rsidR="00FF2825" w:rsidRPr="00150D48">
        <w:rPr>
          <w:rFonts w:ascii="Tahoma" w:hAnsi="Tahoma" w:cs="Tahoma"/>
          <w:sz w:val="18"/>
          <w:szCs w:val="18"/>
          <w:lang w:val="sr-Cyrl-CS"/>
        </w:rPr>
        <w:t xml:space="preserve">је </w:t>
      </w:r>
      <w:r w:rsidRPr="00150D48">
        <w:rPr>
          <w:rFonts w:ascii="Tahoma" w:hAnsi="Tahoma" w:cs="Tahoma"/>
          <w:sz w:val="18"/>
          <w:szCs w:val="18"/>
          <w:lang w:val="sr-Cyrl-BA"/>
        </w:rPr>
        <w:t>износила 808</w:t>
      </w:r>
      <w:r w:rsidR="00FF2825" w:rsidRPr="00150D48">
        <w:rPr>
          <w:rFonts w:ascii="Tahoma" w:hAnsi="Tahoma" w:cs="Tahoma"/>
          <w:sz w:val="18"/>
          <w:szCs w:val="18"/>
          <w:lang w:val="sr-Cyrl-BA"/>
        </w:rPr>
        <w:t xml:space="preserve"> КМ, а просјечна бруто плата 1 32</w:t>
      </w:r>
      <w:r w:rsidR="0006677A" w:rsidRPr="00150D48">
        <w:rPr>
          <w:rFonts w:ascii="Tahoma" w:hAnsi="Tahoma" w:cs="Tahoma"/>
          <w:sz w:val="18"/>
          <w:szCs w:val="18"/>
          <w:lang w:val="sr-Cyrl-BA"/>
        </w:rPr>
        <w:t>4</w:t>
      </w:r>
      <w:r w:rsidR="00FF2825" w:rsidRPr="00150D48">
        <w:rPr>
          <w:rFonts w:ascii="Tahoma" w:hAnsi="Tahoma" w:cs="Tahoma"/>
          <w:sz w:val="18"/>
          <w:szCs w:val="18"/>
          <w:lang w:val="sr-Cyrl-BA"/>
        </w:rPr>
        <w:t xml:space="preserve"> КМ.  У односу на исти период прошле године, просјечна нето плата порасла је номинално за 3,</w:t>
      </w:r>
      <w:r w:rsidR="0006677A" w:rsidRPr="00150D48">
        <w:rPr>
          <w:rFonts w:ascii="Tahoma" w:hAnsi="Tahoma" w:cs="Tahoma"/>
          <w:sz w:val="18"/>
          <w:szCs w:val="18"/>
          <w:lang w:val="sr-Cyrl-BA"/>
        </w:rPr>
        <w:t>3</w:t>
      </w:r>
      <w:r w:rsidR="00FF2825" w:rsidRPr="00150D48">
        <w:rPr>
          <w:rFonts w:ascii="Tahoma" w:hAnsi="Tahoma" w:cs="Tahoma"/>
          <w:sz w:val="18"/>
          <w:szCs w:val="18"/>
          <w:lang w:val="sr-Cyrl-BA"/>
        </w:rPr>
        <w:t>%, ал</w:t>
      </w:r>
      <w:r w:rsidRPr="00150D48">
        <w:rPr>
          <w:rFonts w:ascii="Tahoma" w:hAnsi="Tahoma" w:cs="Tahoma"/>
          <w:sz w:val="18"/>
          <w:szCs w:val="18"/>
          <w:lang w:val="sr-Cyrl-BA"/>
        </w:rPr>
        <w:t>и реално забиљежен је пад за 0,</w:t>
      </w:r>
      <w:r w:rsidR="0006677A" w:rsidRPr="00150D48">
        <w:rPr>
          <w:rFonts w:ascii="Tahoma" w:hAnsi="Tahoma" w:cs="Tahoma"/>
          <w:sz w:val="18"/>
          <w:szCs w:val="18"/>
          <w:lang w:val="sr-Cyrl-BA"/>
        </w:rPr>
        <w:t>6</w:t>
      </w:r>
      <w:r w:rsidR="00FF2825" w:rsidRPr="00150D48">
        <w:rPr>
          <w:rFonts w:ascii="Tahoma" w:hAnsi="Tahoma" w:cs="Tahoma"/>
          <w:sz w:val="18"/>
          <w:szCs w:val="18"/>
          <w:lang w:val="sr-Cyrl-BA"/>
        </w:rPr>
        <w:t>%.</w:t>
      </w:r>
    </w:p>
    <w:p w:rsidR="00FF2825" w:rsidRPr="00150D48" w:rsidRDefault="00FF2825" w:rsidP="00FF2825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</w:rPr>
      </w:pPr>
    </w:p>
    <w:p w:rsidR="00BE3F1D" w:rsidRPr="00150D48" w:rsidRDefault="00FF2825" w:rsidP="00FF2825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150D48">
        <w:rPr>
          <w:rFonts w:ascii="Tahoma" w:hAnsi="Tahoma" w:cs="Tahoma"/>
          <w:sz w:val="18"/>
          <w:szCs w:val="18"/>
          <w:lang w:val="sr-Cyrl-CS"/>
        </w:rPr>
        <w:t>Просјечна не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 xml:space="preserve">то плата исплаћена у </w:t>
      </w:r>
      <w:r w:rsidR="0006677A" w:rsidRPr="00150D48">
        <w:rPr>
          <w:rFonts w:ascii="Tahoma" w:hAnsi="Tahoma" w:cs="Tahoma"/>
          <w:sz w:val="18"/>
          <w:szCs w:val="18"/>
          <w:lang w:val="sr-Cyrl-CS"/>
        </w:rPr>
        <w:t>новем</w:t>
      </w:r>
      <w:r w:rsidRPr="00150D48">
        <w:rPr>
          <w:rFonts w:ascii="Tahoma" w:hAnsi="Tahoma" w:cs="Tahoma"/>
          <w:sz w:val="18"/>
          <w:szCs w:val="18"/>
          <w:lang w:val="sr-Cyrl-CS"/>
        </w:rPr>
        <w:t>бру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 xml:space="preserve"> 2011. године у односу на </w:t>
      </w:r>
      <w:r w:rsidR="0006677A" w:rsidRPr="00150D48">
        <w:rPr>
          <w:rFonts w:ascii="Tahoma" w:hAnsi="Tahoma" w:cs="Tahoma"/>
          <w:sz w:val="18"/>
          <w:szCs w:val="18"/>
          <w:lang w:val="sr-Cyrl-CS"/>
        </w:rPr>
        <w:t>окто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>бар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исте године </w:t>
      </w:r>
      <w:r w:rsidR="0006677A" w:rsidRPr="00150D48">
        <w:rPr>
          <w:rFonts w:ascii="Tahoma" w:hAnsi="Tahoma" w:cs="Tahoma"/>
          <w:sz w:val="18"/>
          <w:szCs w:val="18"/>
          <w:lang w:val="sr-Cyrl-CS"/>
        </w:rPr>
        <w:t>већа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је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 xml:space="preserve"> номинално за </w:t>
      </w:r>
      <w:r w:rsidR="0006677A" w:rsidRPr="00150D48">
        <w:rPr>
          <w:rFonts w:ascii="Tahoma" w:hAnsi="Tahoma" w:cs="Tahoma"/>
          <w:sz w:val="18"/>
          <w:szCs w:val="18"/>
          <w:lang w:val="sr-Cyrl-CS"/>
        </w:rPr>
        <w:t>1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>,</w:t>
      </w:r>
      <w:r w:rsidR="0006677A" w:rsidRPr="00150D48">
        <w:rPr>
          <w:rFonts w:ascii="Tahoma" w:hAnsi="Tahoma" w:cs="Tahoma"/>
          <w:sz w:val="18"/>
          <w:szCs w:val="18"/>
          <w:lang w:val="sr-Cyrl-CS"/>
        </w:rPr>
        <w:t>3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>% и реално за 1,</w:t>
      </w:r>
      <w:r w:rsidR="0006677A" w:rsidRPr="00150D48">
        <w:rPr>
          <w:rFonts w:ascii="Tahoma" w:hAnsi="Tahoma" w:cs="Tahoma"/>
          <w:sz w:val="18"/>
          <w:szCs w:val="18"/>
          <w:lang w:val="sr-Cyrl-CS"/>
        </w:rPr>
        <w:t>0</w:t>
      </w:r>
      <w:r w:rsidRPr="00150D48">
        <w:rPr>
          <w:rFonts w:ascii="Tahoma" w:hAnsi="Tahoma" w:cs="Tahoma"/>
          <w:sz w:val="18"/>
          <w:szCs w:val="18"/>
          <w:lang w:val="sr-Cyrl-CS"/>
        </w:rPr>
        <w:t>%. У односу на просјечну нето плату у 2010. годин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 xml:space="preserve">и, просјечна нето плата у </w:t>
      </w:r>
      <w:r w:rsidR="0006677A" w:rsidRPr="00150D48">
        <w:rPr>
          <w:rFonts w:ascii="Tahoma" w:hAnsi="Tahoma" w:cs="Tahoma"/>
          <w:sz w:val="18"/>
          <w:szCs w:val="18"/>
          <w:lang w:val="sr-Cyrl-CS"/>
        </w:rPr>
        <w:t>новем</w:t>
      </w:r>
      <w:r w:rsidRPr="00150D48">
        <w:rPr>
          <w:rFonts w:ascii="Tahoma" w:hAnsi="Tahoma" w:cs="Tahoma"/>
          <w:sz w:val="18"/>
          <w:szCs w:val="18"/>
          <w:lang w:val="sr-Cyrl-CS"/>
        </w:rPr>
        <w:t>бру 2011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 xml:space="preserve">. године  већа је номинално за </w:t>
      </w:r>
      <w:r w:rsidR="0006677A" w:rsidRPr="00150D48">
        <w:rPr>
          <w:rFonts w:ascii="Tahoma" w:hAnsi="Tahoma" w:cs="Tahoma"/>
          <w:sz w:val="18"/>
          <w:szCs w:val="18"/>
          <w:lang w:val="sr-Cyrl-CS"/>
        </w:rPr>
        <w:t>3</w:t>
      </w:r>
      <w:r w:rsidRPr="00150D48">
        <w:rPr>
          <w:rFonts w:ascii="Tahoma" w:hAnsi="Tahoma" w:cs="Tahoma"/>
          <w:sz w:val="18"/>
          <w:szCs w:val="18"/>
          <w:lang w:val="sr-Cyrl-CS"/>
        </w:rPr>
        <w:t>,</w:t>
      </w:r>
      <w:r w:rsidR="0006677A" w:rsidRPr="00150D48">
        <w:rPr>
          <w:rFonts w:ascii="Tahoma" w:hAnsi="Tahoma" w:cs="Tahoma"/>
          <w:sz w:val="18"/>
          <w:szCs w:val="18"/>
          <w:lang w:val="sr-Cyrl-CS"/>
        </w:rPr>
        <w:t>7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%, а реално мања 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 xml:space="preserve">за </w:t>
      </w:r>
      <w:r w:rsidR="0006677A" w:rsidRPr="00150D48">
        <w:rPr>
          <w:rFonts w:ascii="Tahoma" w:hAnsi="Tahoma" w:cs="Tahoma"/>
          <w:sz w:val="18"/>
          <w:szCs w:val="18"/>
          <w:lang w:val="sr-Cyrl-CS"/>
        </w:rPr>
        <w:t>1</w:t>
      </w:r>
      <w:r w:rsidRPr="00150D48">
        <w:rPr>
          <w:rFonts w:ascii="Tahoma" w:hAnsi="Tahoma" w:cs="Tahoma"/>
          <w:sz w:val="18"/>
          <w:szCs w:val="18"/>
          <w:lang w:val="sr-Cyrl-CS"/>
        </w:rPr>
        <w:t>,</w:t>
      </w:r>
      <w:r w:rsidR="0006677A" w:rsidRPr="00150D48">
        <w:rPr>
          <w:rFonts w:ascii="Tahoma" w:hAnsi="Tahoma" w:cs="Tahoma"/>
          <w:sz w:val="18"/>
          <w:szCs w:val="18"/>
          <w:lang w:val="sr-Cyrl-CS"/>
        </w:rPr>
        <w:t>1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 xml:space="preserve">%. У </w:t>
      </w:r>
      <w:r w:rsidR="0006677A" w:rsidRPr="00150D48">
        <w:rPr>
          <w:rFonts w:ascii="Tahoma" w:hAnsi="Tahoma" w:cs="Tahoma"/>
          <w:sz w:val="18"/>
          <w:szCs w:val="18"/>
          <w:lang w:val="sr-Cyrl-CS"/>
        </w:rPr>
        <w:t>новем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бру 2011. године у односу на исти мјесец прошле године просјечна нето плата номинално већа је за </w:t>
      </w:r>
      <w:r w:rsidR="00BD4A09">
        <w:rPr>
          <w:rFonts w:ascii="Tahoma" w:hAnsi="Tahoma" w:cs="Tahoma"/>
          <w:sz w:val="18"/>
          <w:szCs w:val="18"/>
        </w:rPr>
        <w:t>2</w:t>
      </w:r>
      <w:r w:rsidR="0006677A" w:rsidRPr="00150D48">
        <w:rPr>
          <w:rFonts w:ascii="Tahoma" w:hAnsi="Tahoma" w:cs="Tahoma"/>
          <w:sz w:val="18"/>
          <w:szCs w:val="18"/>
          <w:lang w:val="sr-Cyrl-CS"/>
        </w:rPr>
        <w:t>,8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%, а </w:t>
      </w:r>
      <w:r w:rsidRPr="00150D48">
        <w:rPr>
          <w:rFonts w:ascii="Tahoma" w:hAnsi="Tahoma" w:cs="Tahoma"/>
          <w:sz w:val="18"/>
          <w:szCs w:val="18"/>
          <w:lang w:val="sr-Cyrl-BA"/>
        </w:rPr>
        <w:t xml:space="preserve">реално мања 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>за 1</w:t>
      </w:r>
      <w:r w:rsidR="00BD4A09">
        <w:rPr>
          <w:rFonts w:ascii="Tahoma" w:hAnsi="Tahoma" w:cs="Tahoma"/>
          <w:sz w:val="18"/>
          <w:szCs w:val="18"/>
          <w:lang w:val="sr-Cyrl-CS"/>
        </w:rPr>
        <w:t>,</w:t>
      </w:r>
      <w:r w:rsidR="00BD4A09">
        <w:rPr>
          <w:rFonts w:ascii="Tahoma" w:hAnsi="Tahoma" w:cs="Tahoma"/>
          <w:sz w:val="18"/>
          <w:szCs w:val="18"/>
        </w:rPr>
        <w:t>3</w:t>
      </w:r>
      <w:r w:rsidRPr="00150D48">
        <w:rPr>
          <w:rFonts w:ascii="Tahoma" w:hAnsi="Tahoma" w:cs="Tahoma"/>
          <w:sz w:val="18"/>
          <w:szCs w:val="18"/>
          <w:lang w:val="sr-Cyrl-CS"/>
        </w:rPr>
        <w:t>%.</w:t>
      </w:r>
    </w:p>
    <w:p w:rsidR="000B62D8" w:rsidRPr="00150D48" w:rsidRDefault="000B62D8" w:rsidP="0020048F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E0301" w:rsidRPr="00150D48" w:rsidRDefault="005E0301" w:rsidP="0020048F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150D48">
        <w:rPr>
          <w:rFonts w:ascii="Tahoma" w:hAnsi="Tahoma" w:cs="Tahoma"/>
          <w:sz w:val="18"/>
          <w:szCs w:val="18"/>
          <w:lang w:val="sr-Cyrl-CS"/>
        </w:rPr>
        <w:t>Највиша просјечна нето плата</w:t>
      </w:r>
      <w:r w:rsidR="00C36EC5" w:rsidRPr="00150D48">
        <w:rPr>
          <w:rFonts w:ascii="Tahoma" w:hAnsi="Tahoma" w:cs="Tahoma"/>
          <w:sz w:val="18"/>
          <w:szCs w:val="18"/>
          <w:lang w:val="sr-Cyrl-CS"/>
        </w:rPr>
        <w:t xml:space="preserve"> у </w:t>
      </w:r>
      <w:r w:rsidR="0006677A" w:rsidRPr="00150D48">
        <w:rPr>
          <w:rFonts w:ascii="Tahoma" w:hAnsi="Tahoma" w:cs="Tahoma"/>
          <w:sz w:val="18"/>
          <w:szCs w:val="18"/>
          <w:lang w:val="sr-Cyrl-CS"/>
        </w:rPr>
        <w:t>новем</w:t>
      </w:r>
      <w:r w:rsidR="005138D6" w:rsidRPr="00150D48">
        <w:rPr>
          <w:rFonts w:ascii="Tahoma" w:hAnsi="Tahoma" w:cs="Tahoma"/>
          <w:sz w:val="18"/>
          <w:szCs w:val="18"/>
          <w:lang w:val="sr-Cyrl-CS"/>
        </w:rPr>
        <w:t xml:space="preserve">бру </w:t>
      </w:r>
      <w:r w:rsidR="00BE3F1D" w:rsidRPr="00150D48">
        <w:rPr>
          <w:rFonts w:ascii="Tahoma" w:hAnsi="Tahoma" w:cs="Tahoma"/>
          <w:sz w:val="18"/>
          <w:szCs w:val="18"/>
          <w:lang w:val="sr-Cyrl-CS"/>
        </w:rPr>
        <w:t>2011. године</w:t>
      </w:r>
      <w:r w:rsidRPr="00150D48">
        <w:rPr>
          <w:rFonts w:ascii="Tahoma" w:hAnsi="Tahoma" w:cs="Tahoma"/>
          <w:sz w:val="18"/>
          <w:szCs w:val="18"/>
          <w:lang w:val="sr-Cyrl-CS"/>
        </w:rPr>
        <w:t>, посматра</w:t>
      </w:r>
      <w:r w:rsidR="00FB64BA" w:rsidRPr="00150D48">
        <w:rPr>
          <w:rFonts w:ascii="Tahoma" w:hAnsi="Tahoma" w:cs="Tahoma"/>
          <w:sz w:val="18"/>
          <w:szCs w:val="18"/>
          <w:lang w:val="sr-Cyrl-CS"/>
        </w:rPr>
        <w:t xml:space="preserve">но по подручјима дјелатности, исплаћена је у подручју </w:t>
      </w:r>
      <w:r w:rsidRPr="00150D48">
        <w:rPr>
          <w:rFonts w:ascii="Tahoma" w:hAnsi="Tahoma" w:cs="Tahoma"/>
          <w:i/>
          <w:sz w:val="18"/>
          <w:szCs w:val="18"/>
          <w:lang w:val="sr-Cyrl-CS"/>
        </w:rPr>
        <w:t xml:space="preserve">Финансијско посредовање 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и износи 1 </w:t>
      </w:r>
      <w:r w:rsidR="00351BFE" w:rsidRPr="00150D48">
        <w:rPr>
          <w:rFonts w:ascii="Tahoma" w:hAnsi="Tahoma" w:cs="Tahoma"/>
          <w:sz w:val="18"/>
          <w:szCs w:val="18"/>
          <w:lang w:val="sr-Cyrl-CS"/>
        </w:rPr>
        <w:t>2</w:t>
      </w:r>
      <w:r w:rsidR="00DE329F" w:rsidRPr="00150D48">
        <w:rPr>
          <w:rFonts w:ascii="Tahoma" w:hAnsi="Tahoma" w:cs="Tahoma"/>
          <w:sz w:val="18"/>
          <w:szCs w:val="18"/>
          <w:lang w:val="sr-Cyrl-CS"/>
        </w:rPr>
        <w:t>3</w:t>
      </w:r>
      <w:r w:rsidR="0006677A" w:rsidRPr="00150D48">
        <w:rPr>
          <w:rFonts w:ascii="Tahoma" w:hAnsi="Tahoma" w:cs="Tahoma"/>
          <w:sz w:val="18"/>
          <w:szCs w:val="18"/>
          <w:lang w:val="sr-Cyrl-CS"/>
        </w:rPr>
        <w:t>5</w:t>
      </w:r>
      <w:r w:rsidR="00C03F53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КМ, а најнижа у подручју </w:t>
      </w:r>
      <w:r w:rsidR="00351BFE" w:rsidRPr="00150D48">
        <w:rPr>
          <w:rFonts w:ascii="Tahoma" w:hAnsi="Tahoma" w:cs="Tahoma"/>
          <w:i/>
          <w:sz w:val="18"/>
          <w:szCs w:val="18"/>
          <w:lang w:val="sr-Cyrl-CS"/>
        </w:rPr>
        <w:t>Угоститељство</w:t>
      </w:r>
      <w:r w:rsidR="00351BF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150D48">
        <w:rPr>
          <w:rFonts w:ascii="Tahoma" w:hAnsi="Tahoma" w:cs="Tahoma"/>
          <w:sz w:val="18"/>
          <w:szCs w:val="18"/>
          <w:lang w:val="sr-Cyrl-CS"/>
        </w:rPr>
        <w:t>5</w:t>
      </w:r>
      <w:r w:rsidR="0006677A" w:rsidRPr="00150D48">
        <w:rPr>
          <w:rFonts w:ascii="Tahoma" w:hAnsi="Tahoma" w:cs="Tahoma"/>
          <w:sz w:val="18"/>
          <w:szCs w:val="18"/>
          <w:lang w:val="sr-Cyrl-CS"/>
        </w:rPr>
        <w:t>52</w:t>
      </w:r>
      <w:r w:rsidR="00C36EC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150D48">
        <w:rPr>
          <w:rFonts w:ascii="Tahoma" w:hAnsi="Tahoma" w:cs="Tahoma"/>
          <w:sz w:val="18"/>
          <w:szCs w:val="18"/>
          <w:lang w:val="sr-Cyrl-CS"/>
        </w:rPr>
        <w:t>КМ.</w:t>
      </w:r>
    </w:p>
    <w:p w:rsidR="0089681F" w:rsidRPr="00150D48" w:rsidRDefault="0089681F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E0301" w:rsidRPr="00150D48" w:rsidRDefault="00DE329F" w:rsidP="0020048F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150D48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="0006677A" w:rsidRPr="00150D48">
        <w:rPr>
          <w:rFonts w:ascii="Tahoma" w:hAnsi="Tahoma" w:cs="Tahoma"/>
          <w:sz w:val="18"/>
          <w:szCs w:val="18"/>
          <w:lang w:val="sr-Cyrl-CS"/>
        </w:rPr>
        <w:t>новем</w:t>
      </w:r>
      <w:r w:rsidR="007B317B" w:rsidRPr="00150D48">
        <w:rPr>
          <w:rFonts w:ascii="Tahoma" w:hAnsi="Tahoma" w:cs="Tahoma"/>
          <w:sz w:val="18"/>
          <w:szCs w:val="18"/>
          <w:lang w:val="sr-Cyrl-CS"/>
        </w:rPr>
        <w:t xml:space="preserve">бру </w:t>
      </w:r>
      <w:r w:rsidR="007B317B" w:rsidRPr="00150D48">
        <w:rPr>
          <w:rFonts w:ascii="Tahoma" w:hAnsi="Tahoma" w:cs="Tahoma"/>
          <w:sz w:val="18"/>
          <w:szCs w:val="18"/>
          <w:lang w:val="ru-RU"/>
        </w:rPr>
        <w:t>2011. године, у</w:t>
      </w:r>
      <w:r w:rsidR="00BE3F1D" w:rsidRPr="00150D48">
        <w:rPr>
          <w:rFonts w:ascii="Tahoma" w:hAnsi="Tahoma" w:cs="Tahoma"/>
          <w:sz w:val="18"/>
          <w:szCs w:val="18"/>
          <w:lang w:val="ru-RU"/>
        </w:rPr>
        <w:t xml:space="preserve"> односу на</w:t>
      </w:r>
      <w:r w:rsidR="0043513A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 w:rsidR="0006677A" w:rsidRPr="00150D48">
        <w:rPr>
          <w:rFonts w:ascii="Tahoma" w:hAnsi="Tahoma" w:cs="Tahoma"/>
          <w:sz w:val="18"/>
          <w:szCs w:val="18"/>
          <w:lang w:val="sr-Cyrl-CS"/>
        </w:rPr>
        <w:t>окто</w:t>
      </w:r>
      <w:r w:rsidRPr="00150D48">
        <w:rPr>
          <w:rFonts w:ascii="Tahoma" w:hAnsi="Tahoma" w:cs="Tahoma"/>
          <w:sz w:val="18"/>
          <w:szCs w:val="18"/>
          <w:lang w:val="sr-Cyrl-CS"/>
        </w:rPr>
        <w:t>бар</w:t>
      </w:r>
      <w:r w:rsidR="00F4528D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 w:rsidR="00C36EC5" w:rsidRPr="00150D48">
        <w:rPr>
          <w:rFonts w:ascii="Tahoma" w:hAnsi="Tahoma" w:cs="Tahoma"/>
          <w:sz w:val="18"/>
          <w:szCs w:val="18"/>
          <w:lang w:val="ru-RU"/>
        </w:rPr>
        <w:t>2011</w:t>
      </w:r>
      <w:r w:rsidR="00C6075B" w:rsidRPr="00150D48">
        <w:rPr>
          <w:rFonts w:ascii="Tahoma" w:hAnsi="Tahoma" w:cs="Tahoma"/>
          <w:sz w:val="18"/>
          <w:szCs w:val="18"/>
          <w:lang w:val="ru-RU"/>
        </w:rPr>
        <w:t>.</w:t>
      </w:r>
      <w:r w:rsidR="003E412B" w:rsidRPr="00150D48">
        <w:rPr>
          <w:rFonts w:ascii="Tahoma" w:hAnsi="Tahoma" w:cs="Tahoma"/>
          <w:sz w:val="18"/>
          <w:szCs w:val="18"/>
          <w:lang w:val="ru-RU"/>
        </w:rPr>
        <w:t xml:space="preserve"> године, </w:t>
      </w:r>
      <w:r w:rsidR="00BE3F1D" w:rsidRPr="00150D48">
        <w:rPr>
          <w:rFonts w:ascii="Tahoma" w:hAnsi="Tahoma" w:cs="Tahoma"/>
          <w:sz w:val="18"/>
          <w:szCs w:val="18"/>
          <w:lang w:val="ru-RU"/>
        </w:rPr>
        <w:t>н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 xml:space="preserve">ајвећи номинални раст </w:t>
      </w:r>
      <w:r w:rsidR="00BE3F1D" w:rsidRPr="00150D48">
        <w:rPr>
          <w:rFonts w:ascii="Tahoma" w:hAnsi="Tahoma" w:cs="Tahoma"/>
          <w:sz w:val="18"/>
          <w:szCs w:val="18"/>
          <w:lang w:val="sr-Cyrl-CS"/>
        </w:rPr>
        <w:t xml:space="preserve">нето 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 xml:space="preserve">плате забиљежен </w:t>
      </w:r>
      <w:r w:rsidR="003E412B" w:rsidRPr="00150D48">
        <w:rPr>
          <w:rFonts w:ascii="Tahoma" w:hAnsi="Tahoma" w:cs="Tahoma"/>
          <w:sz w:val="18"/>
          <w:szCs w:val="18"/>
          <w:lang w:val="sr-Cyrl-CS"/>
        </w:rPr>
        <w:t xml:space="preserve">је </w:t>
      </w:r>
      <w:r w:rsidR="005E0301" w:rsidRPr="00150D48">
        <w:rPr>
          <w:rFonts w:ascii="Tahoma" w:hAnsi="Tahoma" w:cs="Tahoma"/>
          <w:sz w:val="18"/>
          <w:szCs w:val="18"/>
          <w:lang w:val="sr-Cyrl-CS"/>
        </w:rPr>
        <w:t>у</w:t>
      </w:r>
      <w:r w:rsidR="00BE3F1D" w:rsidRPr="00150D48">
        <w:rPr>
          <w:rFonts w:ascii="Tahoma" w:hAnsi="Tahoma" w:cs="Tahoma"/>
          <w:sz w:val="18"/>
          <w:szCs w:val="18"/>
          <w:lang w:val="sr-Cyrl-CS"/>
        </w:rPr>
        <w:t xml:space="preserve"> подручјима</w:t>
      </w:r>
      <w:r w:rsidR="005E0301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="0006677A" w:rsidRPr="00150D48">
        <w:rPr>
          <w:rFonts w:ascii="Tahoma" w:hAnsi="Tahoma" w:cs="Tahoma"/>
          <w:i/>
          <w:sz w:val="18"/>
          <w:szCs w:val="18"/>
          <w:lang w:val="sr-Cyrl-CS"/>
        </w:rPr>
        <w:t xml:space="preserve">Вађење руда и камена 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за </w:t>
      </w:r>
      <w:r w:rsidR="0006677A" w:rsidRPr="00150D48">
        <w:rPr>
          <w:rFonts w:ascii="Tahoma" w:hAnsi="Tahoma" w:cs="Tahoma"/>
          <w:i/>
          <w:sz w:val="18"/>
          <w:szCs w:val="18"/>
          <w:lang w:val="sr-Cyrl-CS"/>
        </w:rPr>
        <w:t>3</w:t>
      </w:r>
      <w:r w:rsidRPr="00150D48">
        <w:rPr>
          <w:rFonts w:ascii="Tahoma" w:hAnsi="Tahoma" w:cs="Tahoma"/>
          <w:i/>
          <w:sz w:val="18"/>
          <w:szCs w:val="18"/>
          <w:lang w:val="sr-Cyrl-CS"/>
        </w:rPr>
        <w:t>,</w:t>
      </w:r>
      <w:r w:rsidR="0006677A" w:rsidRPr="00150D48">
        <w:rPr>
          <w:rFonts w:ascii="Tahoma" w:hAnsi="Tahoma" w:cs="Tahoma"/>
          <w:i/>
          <w:sz w:val="18"/>
          <w:szCs w:val="18"/>
          <w:lang w:val="sr-Cyrl-CS"/>
        </w:rPr>
        <w:t>7</w:t>
      </w:r>
      <w:r w:rsidRPr="00150D48">
        <w:rPr>
          <w:rFonts w:ascii="Tahoma" w:hAnsi="Tahoma" w:cs="Tahoma"/>
          <w:i/>
          <w:sz w:val="18"/>
          <w:szCs w:val="18"/>
          <w:lang w:val="sr-Cyrl-CS"/>
        </w:rPr>
        <w:t>%</w:t>
      </w:r>
      <w:r w:rsidRPr="00150D48">
        <w:rPr>
          <w:rFonts w:ascii="Tahoma" w:hAnsi="Tahoma" w:cs="Tahoma"/>
          <w:i/>
          <w:sz w:val="18"/>
          <w:szCs w:val="18"/>
        </w:rPr>
        <w:t xml:space="preserve">, </w:t>
      </w:r>
      <w:r w:rsidR="0006677A" w:rsidRPr="00150D48">
        <w:rPr>
          <w:rFonts w:ascii="Tahoma" w:hAnsi="Tahoma" w:cs="Tahoma"/>
          <w:i/>
          <w:sz w:val="18"/>
          <w:szCs w:val="18"/>
          <w:lang w:val="sr-Cyrl-CS"/>
        </w:rPr>
        <w:t xml:space="preserve">Угоститељство </w:t>
      </w:r>
      <w:r w:rsidR="0006677A" w:rsidRPr="00150D48">
        <w:rPr>
          <w:rFonts w:ascii="Tahoma" w:hAnsi="Tahoma" w:cs="Tahoma"/>
          <w:sz w:val="18"/>
          <w:szCs w:val="18"/>
          <w:lang w:val="sr-Cyrl-CS"/>
        </w:rPr>
        <w:t>за 2</w:t>
      </w:r>
      <w:r w:rsidR="0006677A" w:rsidRPr="00150D48">
        <w:rPr>
          <w:rFonts w:ascii="Tahoma" w:hAnsi="Tahoma" w:cs="Tahoma"/>
          <w:i/>
          <w:sz w:val="18"/>
          <w:szCs w:val="18"/>
          <w:lang w:val="sr-Cyrl-CS"/>
        </w:rPr>
        <w:t xml:space="preserve">,7% </w:t>
      </w:r>
      <w:r w:rsidR="0006677A" w:rsidRPr="00150D48">
        <w:rPr>
          <w:rFonts w:ascii="Tahoma" w:hAnsi="Tahoma" w:cs="Tahoma"/>
          <w:sz w:val="18"/>
          <w:szCs w:val="18"/>
          <w:lang w:val="sr-Cyrl-CS"/>
        </w:rPr>
        <w:t xml:space="preserve">и </w:t>
      </w:r>
      <w:r w:rsidR="0006677A" w:rsidRPr="00150D48">
        <w:rPr>
          <w:rFonts w:ascii="Tahoma" w:hAnsi="Tahoma" w:cs="Tahoma"/>
          <w:i/>
          <w:sz w:val="18"/>
          <w:szCs w:val="18"/>
          <w:lang w:val="sr-Cyrl-CS"/>
        </w:rPr>
        <w:t xml:space="preserve">Саобраћај, складиштење и комуникације </w:t>
      </w:r>
      <w:r w:rsidR="0006677A" w:rsidRPr="00150D48">
        <w:rPr>
          <w:rFonts w:ascii="Tahoma" w:hAnsi="Tahoma" w:cs="Tahoma"/>
          <w:sz w:val="18"/>
          <w:szCs w:val="18"/>
          <w:lang w:val="sr-Cyrl-CS"/>
        </w:rPr>
        <w:t xml:space="preserve">за </w:t>
      </w:r>
      <w:r w:rsidR="0006677A" w:rsidRPr="00150D48">
        <w:rPr>
          <w:rFonts w:ascii="Tahoma" w:hAnsi="Tahoma" w:cs="Tahoma"/>
          <w:i/>
          <w:sz w:val="18"/>
          <w:szCs w:val="18"/>
          <w:lang w:val="sr-Cyrl-CS"/>
        </w:rPr>
        <w:t>1,6%,</w:t>
      </w:r>
      <w:r w:rsidR="0006677A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5138D6" w:rsidRPr="00150D48">
        <w:rPr>
          <w:rFonts w:ascii="Tahoma" w:hAnsi="Tahoma" w:cs="Tahoma"/>
          <w:sz w:val="18"/>
          <w:szCs w:val="18"/>
          <w:lang w:val="sr-Cyrl-CS"/>
        </w:rPr>
        <w:t>док је номинално нижа плата у подручјима</w:t>
      </w:r>
      <w:r w:rsidR="005138D6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="008B2AA4" w:rsidRPr="00150D48">
        <w:rPr>
          <w:rFonts w:ascii="Tahoma" w:hAnsi="Tahoma" w:cs="Tahoma"/>
          <w:i/>
          <w:sz w:val="18"/>
          <w:szCs w:val="18"/>
          <w:lang w:val="sr-Cyrl-CS"/>
        </w:rPr>
        <w:t>Рибарство</w:t>
      </w:r>
      <w:r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="008B2AA4" w:rsidRPr="00150D48">
        <w:rPr>
          <w:rFonts w:ascii="Tahoma" w:hAnsi="Tahoma" w:cs="Tahoma"/>
          <w:sz w:val="18"/>
          <w:szCs w:val="18"/>
          <w:lang w:val="sr-Cyrl-CS"/>
        </w:rPr>
        <w:t xml:space="preserve">за </w:t>
      </w:r>
      <w:r w:rsidR="008B2AA4" w:rsidRPr="00150D48">
        <w:rPr>
          <w:rFonts w:ascii="Tahoma" w:hAnsi="Tahoma" w:cs="Tahoma"/>
          <w:i/>
          <w:sz w:val="18"/>
          <w:szCs w:val="18"/>
          <w:lang w:val="sr-Cyrl-CS"/>
        </w:rPr>
        <w:t>6</w:t>
      </w:r>
      <w:r w:rsidRPr="00150D48">
        <w:rPr>
          <w:rFonts w:ascii="Tahoma" w:hAnsi="Tahoma" w:cs="Tahoma"/>
          <w:i/>
          <w:sz w:val="18"/>
          <w:szCs w:val="18"/>
          <w:lang w:val="sr-Cyrl-CS"/>
        </w:rPr>
        <w:t>,</w:t>
      </w:r>
      <w:r w:rsidR="008B2AA4" w:rsidRPr="00150D48">
        <w:rPr>
          <w:rFonts w:ascii="Tahoma" w:hAnsi="Tahoma" w:cs="Tahoma"/>
          <w:i/>
          <w:sz w:val="18"/>
          <w:szCs w:val="18"/>
          <w:lang w:val="sr-Cyrl-CS"/>
        </w:rPr>
        <w:t>3</w:t>
      </w:r>
      <w:r w:rsidRPr="00150D48">
        <w:rPr>
          <w:rFonts w:ascii="Tahoma" w:hAnsi="Tahoma" w:cs="Tahoma"/>
          <w:i/>
          <w:sz w:val="18"/>
          <w:szCs w:val="18"/>
          <w:lang w:val="sr-Cyrl-CS"/>
        </w:rPr>
        <w:t>%,</w:t>
      </w:r>
      <w:r w:rsidR="005138D6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="008B2AA4" w:rsidRPr="00150D48">
        <w:rPr>
          <w:rFonts w:ascii="Tahoma" w:hAnsi="Tahoma" w:cs="Tahoma"/>
          <w:i/>
          <w:sz w:val="18"/>
          <w:szCs w:val="18"/>
          <w:lang w:val="sr-Cyrl-CS"/>
        </w:rPr>
        <w:t>Пољопривреда, лов и шумарство</w:t>
      </w:r>
      <w:r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="008B2AA4" w:rsidRPr="00150D48">
        <w:rPr>
          <w:rFonts w:ascii="Tahoma" w:hAnsi="Tahoma" w:cs="Tahoma"/>
          <w:sz w:val="18"/>
          <w:szCs w:val="18"/>
          <w:lang w:val="sr-Cyrl-CS"/>
        </w:rPr>
        <w:t xml:space="preserve">за </w:t>
      </w:r>
      <w:r w:rsidR="008B2AA4" w:rsidRPr="00150D48">
        <w:rPr>
          <w:rFonts w:ascii="Tahoma" w:hAnsi="Tahoma" w:cs="Tahoma"/>
          <w:i/>
          <w:sz w:val="18"/>
          <w:szCs w:val="18"/>
          <w:lang w:val="sr-Cyrl-CS"/>
        </w:rPr>
        <w:t>2</w:t>
      </w:r>
      <w:r w:rsidRPr="00150D48">
        <w:rPr>
          <w:rFonts w:ascii="Tahoma" w:hAnsi="Tahoma" w:cs="Tahoma"/>
          <w:i/>
          <w:sz w:val="18"/>
          <w:szCs w:val="18"/>
          <w:lang w:val="sr-Cyrl-CS"/>
        </w:rPr>
        <w:t>,</w:t>
      </w:r>
      <w:r w:rsidR="008B2AA4" w:rsidRPr="00150D48">
        <w:rPr>
          <w:rFonts w:ascii="Tahoma" w:hAnsi="Tahoma" w:cs="Tahoma"/>
          <w:i/>
          <w:sz w:val="18"/>
          <w:szCs w:val="18"/>
          <w:lang w:val="sr-Cyrl-CS"/>
        </w:rPr>
        <w:t>7</w:t>
      </w:r>
      <w:r w:rsidR="00526A94" w:rsidRPr="00150D48">
        <w:rPr>
          <w:rFonts w:ascii="Tahoma" w:hAnsi="Tahoma" w:cs="Tahoma"/>
          <w:i/>
          <w:sz w:val="18"/>
          <w:szCs w:val="18"/>
          <w:lang w:val="sr-Cyrl-CS"/>
        </w:rPr>
        <w:t>%</w:t>
      </w:r>
      <w:r w:rsidR="008B2AA4" w:rsidRPr="00150D4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Pr="00150D48">
        <w:rPr>
          <w:rFonts w:ascii="Tahoma" w:hAnsi="Tahoma" w:cs="Tahoma"/>
          <w:i/>
          <w:sz w:val="18"/>
          <w:szCs w:val="18"/>
          <w:lang w:val="sr-Cyrl-CS"/>
        </w:rPr>
        <w:t xml:space="preserve">и </w:t>
      </w:r>
      <w:r w:rsidR="008B2AA4" w:rsidRPr="00150D48">
        <w:rPr>
          <w:rFonts w:ascii="Tahoma" w:hAnsi="Tahoma" w:cs="Tahoma"/>
          <w:i/>
          <w:sz w:val="18"/>
          <w:szCs w:val="18"/>
          <w:lang w:val="sr-Cyrl-CS"/>
        </w:rPr>
        <w:t>Производња</w:t>
      </w:r>
      <w:r w:rsidR="008B2AA4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8B2AA4" w:rsidRPr="00150D48">
        <w:rPr>
          <w:rFonts w:ascii="Tahoma" w:hAnsi="Tahoma" w:cs="Tahoma"/>
          <w:i/>
          <w:sz w:val="18"/>
          <w:szCs w:val="18"/>
          <w:lang w:val="sr-Cyrl-CS"/>
        </w:rPr>
        <w:t>и снабдијевање електричном енергијом, гасом и водом</w:t>
      </w:r>
      <w:r w:rsidR="008B2AA4" w:rsidRPr="00150D48">
        <w:rPr>
          <w:rFonts w:ascii="Tahoma" w:hAnsi="Tahoma" w:cs="Tahoma"/>
          <w:sz w:val="18"/>
          <w:szCs w:val="18"/>
          <w:lang w:val="sr-Cyrl-CS"/>
        </w:rPr>
        <w:t xml:space="preserve"> за </w:t>
      </w:r>
      <w:r w:rsidR="008B2AA4" w:rsidRPr="00150D48">
        <w:rPr>
          <w:rFonts w:ascii="Tahoma" w:hAnsi="Tahoma" w:cs="Tahoma"/>
          <w:i/>
          <w:sz w:val="18"/>
          <w:szCs w:val="18"/>
          <w:lang w:val="sr-Cyrl-CS"/>
        </w:rPr>
        <w:t>1,9%.</w:t>
      </w:r>
    </w:p>
    <w:p w:rsidR="00565FA3" w:rsidRPr="00150D48" w:rsidRDefault="00565FA3" w:rsidP="001D57CB">
      <w:pPr>
        <w:jc w:val="center"/>
        <w:rPr>
          <w:rFonts w:ascii="Tahoma" w:hAnsi="Tahoma" w:cs="Tahoma"/>
          <w:sz w:val="18"/>
          <w:szCs w:val="18"/>
          <w:lang w:val="sr-Latn-CS"/>
        </w:rPr>
      </w:pPr>
    </w:p>
    <w:p w:rsidR="00CD0CCB" w:rsidRPr="00150D48" w:rsidRDefault="00C02566" w:rsidP="0029071F">
      <w:pPr>
        <w:jc w:val="center"/>
        <w:rPr>
          <w:rFonts w:ascii="Tahoma" w:hAnsi="Tahoma" w:cs="Tahoma"/>
          <w:sz w:val="18"/>
          <w:szCs w:val="18"/>
          <w:lang w:val="sr-Cyrl-CS"/>
        </w:rPr>
      </w:pPr>
      <w:r w:rsidRPr="00150D48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4701485" cy="2782957"/>
            <wp:effectExtent l="19050" t="0" r="3865" b="0"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B4B44" w:rsidRPr="00EB4B44"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321.45pt;margin-top:2.45pt;width:41.05pt;height:26.5pt;z-index:251659264;mso-position-horizontal-relative:text;mso-position-vertical-relative:text;mso-width-relative:margin;mso-height-relative:margin" stroked="f">
            <v:textbox style="mso-next-textbox:#_x0000_s1063">
              <w:txbxContent>
                <w:p w:rsidR="005F1C68" w:rsidRPr="0078288A" w:rsidRDefault="005F1C68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sr-Cyrl-CS"/>
                    </w:rPr>
                    <w:t xml:space="preserve">        </w:t>
                  </w: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KM</w:t>
                  </w:r>
                </w:p>
              </w:txbxContent>
            </v:textbox>
          </v:shape>
        </w:pict>
      </w:r>
    </w:p>
    <w:p w:rsidR="00CD0CCB" w:rsidRPr="00150D48" w:rsidRDefault="00EB4B44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EB4B44">
        <w:rPr>
          <w:rFonts w:ascii="Tahoma" w:hAnsi="Tahoma" w:cs="Tahoma"/>
          <w:noProof/>
          <w:sz w:val="16"/>
          <w:lang w:eastAsia="zh-TW"/>
        </w:rPr>
        <w:pict>
          <v:shape id="_x0000_s1075" type="#_x0000_t202" style="position:absolute;left:0;text-align:left;margin-left:216.8pt;margin-top:.85pt;width:50.4pt;height:17.6pt;z-index:251669504;mso-height-percent:200;mso-height-percent:200;mso-width-relative:margin;mso-height-relative:margin" strokecolor="white [3212]">
            <v:textbox style="mso-fit-shape-to-text:t">
              <w:txbxContent>
                <w:p w:rsidR="005F1C68" w:rsidRPr="0029071F" w:rsidRDefault="005F1C68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9071F">
                    <w:rPr>
                      <w:rFonts w:ascii="Tahoma" w:hAnsi="Tahoma" w:cs="Tahoma"/>
                      <w:sz w:val="16"/>
                      <w:szCs w:val="16"/>
                    </w:rPr>
                    <w:t>2011.</w:t>
                  </w:r>
                </w:p>
              </w:txbxContent>
            </v:textbox>
          </v:shape>
        </w:pict>
      </w:r>
      <w:r w:rsidRPr="00EB4B44"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 id="_x0000_s1074" type="#_x0000_t202" style="position:absolute;left:0;text-align:left;margin-left:98.65pt;margin-top:.4pt;width:41.3pt;height:19.45pt;z-index:251667456;mso-height-percent:200;mso-height-percent:200;mso-width-relative:margin;mso-height-relative:margin" strokecolor="white [3212]">
            <v:textbox style="mso-next-textbox:#_x0000_s1074;mso-fit-shape-to-text:t">
              <w:txbxContent>
                <w:p w:rsidR="005F1C68" w:rsidRPr="0029071F" w:rsidRDefault="005F1C68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9071F">
                    <w:rPr>
                      <w:rFonts w:ascii="Tahoma" w:hAnsi="Tahoma" w:cs="Tahoma"/>
                      <w:sz w:val="16"/>
                      <w:szCs w:val="16"/>
                    </w:rPr>
                    <w:t>2010.</w:t>
                  </w:r>
                </w:p>
              </w:txbxContent>
            </v:textbox>
          </v:shape>
        </w:pict>
      </w:r>
    </w:p>
    <w:p w:rsidR="00CD0CCB" w:rsidRPr="00150D48" w:rsidRDefault="00CD0CCB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E0301" w:rsidRPr="00150D48" w:rsidRDefault="00BF2682" w:rsidP="00BF2682">
      <w:pPr>
        <w:ind w:left="-142"/>
        <w:outlineLvl w:val="0"/>
        <w:rPr>
          <w:rFonts w:ascii="Tahoma" w:hAnsi="Tahoma" w:cs="Tahoma"/>
          <w:sz w:val="16"/>
        </w:rPr>
      </w:pPr>
      <w:r w:rsidRPr="00150D48">
        <w:rPr>
          <w:rFonts w:ascii="Tahoma" w:hAnsi="Tahoma" w:cs="Tahoma"/>
          <w:sz w:val="16"/>
          <w:szCs w:val="16"/>
          <w:lang w:val="sr-Cyrl-BA"/>
        </w:rPr>
        <w:t xml:space="preserve">                                                        </w:t>
      </w:r>
      <w:r w:rsidR="000328B8" w:rsidRPr="00150D48">
        <w:rPr>
          <w:rFonts w:ascii="Tahoma" w:hAnsi="Tahoma" w:cs="Tahoma"/>
          <w:sz w:val="16"/>
          <w:szCs w:val="16"/>
          <w:lang w:val="sr-Cyrl-BA"/>
        </w:rPr>
        <w:t xml:space="preserve">Графикон </w:t>
      </w:r>
      <w:r w:rsidR="00765234">
        <w:rPr>
          <w:rFonts w:ascii="Tahoma" w:hAnsi="Tahoma" w:cs="Tahoma"/>
          <w:sz w:val="16"/>
          <w:szCs w:val="16"/>
        </w:rPr>
        <w:t>2</w:t>
      </w:r>
      <w:r w:rsidR="005E0301" w:rsidRPr="00150D48">
        <w:rPr>
          <w:rFonts w:ascii="Tahoma" w:hAnsi="Tahoma" w:cs="Tahoma"/>
          <w:sz w:val="16"/>
          <w:szCs w:val="16"/>
          <w:lang w:val="ru-RU"/>
        </w:rPr>
        <w:t>.</w:t>
      </w:r>
      <w:r w:rsidR="005E0301" w:rsidRPr="00150D48">
        <w:rPr>
          <w:rFonts w:ascii="Tahoma" w:hAnsi="Tahoma" w:cs="Tahoma"/>
          <w:sz w:val="16"/>
          <w:szCs w:val="16"/>
          <w:lang w:val="sr-Cyrl-BA"/>
        </w:rPr>
        <w:t xml:space="preserve"> </w:t>
      </w:r>
      <w:r w:rsidR="005E0301" w:rsidRPr="00150D48">
        <w:rPr>
          <w:rFonts w:ascii="Tahoma" w:hAnsi="Tahoma" w:cs="Tahoma"/>
          <w:sz w:val="16"/>
          <w:lang w:val="sr-Cyrl-CS"/>
        </w:rPr>
        <w:t>П</w:t>
      </w:r>
      <w:r w:rsidR="005E0301" w:rsidRPr="00150D48">
        <w:rPr>
          <w:rFonts w:ascii="Tahoma" w:hAnsi="Tahoma" w:cs="Tahoma"/>
          <w:sz w:val="16"/>
          <w:lang w:val="ru-RU"/>
        </w:rPr>
        <w:t>росјечн</w:t>
      </w:r>
      <w:r w:rsidR="005E0301" w:rsidRPr="00150D48">
        <w:rPr>
          <w:rFonts w:ascii="Tahoma" w:hAnsi="Tahoma" w:cs="Tahoma"/>
          <w:sz w:val="16"/>
        </w:rPr>
        <w:t>e</w:t>
      </w:r>
      <w:r w:rsidR="005E0301" w:rsidRPr="00150D48">
        <w:rPr>
          <w:rFonts w:ascii="Tahoma" w:hAnsi="Tahoma" w:cs="Tahoma"/>
          <w:sz w:val="16"/>
          <w:lang w:val="ru-RU"/>
        </w:rPr>
        <w:t xml:space="preserve"> нето плат</w:t>
      </w:r>
      <w:r w:rsidR="005E0301" w:rsidRPr="00150D48">
        <w:rPr>
          <w:rFonts w:ascii="Tahoma" w:hAnsi="Tahoma" w:cs="Tahoma"/>
          <w:sz w:val="16"/>
        </w:rPr>
        <w:t>e</w:t>
      </w:r>
      <w:r w:rsidR="005E0301" w:rsidRPr="00150D48">
        <w:rPr>
          <w:rFonts w:ascii="Tahoma" w:hAnsi="Tahoma" w:cs="Tahoma"/>
          <w:sz w:val="16"/>
          <w:lang w:val="ru-RU"/>
        </w:rPr>
        <w:t xml:space="preserve"> запослених по мјесецима</w:t>
      </w:r>
    </w:p>
    <w:p w:rsidR="0029071F" w:rsidRPr="00150D48" w:rsidRDefault="0029071F" w:rsidP="00BF2682">
      <w:pPr>
        <w:ind w:left="-142"/>
        <w:outlineLvl w:val="0"/>
        <w:rPr>
          <w:rFonts w:ascii="Tahoma" w:hAnsi="Tahoma" w:cs="Tahoma"/>
          <w:sz w:val="16"/>
          <w:szCs w:val="16"/>
        </w:rPr>
      </w:pPr>
    </w:p>
    <w:p w:rsidR="00DC3BA1" w:rsidRPr="00150D48" w:rsidRDefault="005E0301" w:rsidP="00AB7277">
      <w:pPr>
        <w:tabs>
          <w:tab w:val="left" w:pos="400"/>
        </w:tabs>
        <w:jc w:val="both"/>
        <w:rPr>
          <w:rFonts w:ascii="Tahoma" w:hAnsi="Tahoma" w:cs="Tahoma"/>
          <w:b/>
          <w:sz w:val="16"/>
          <w:szCs w:val="16"/>
        </w:rPr>
      </w:pPr>
      <w:r w:rsidRPr="00150D48">
        <w:rPr>
          <w:rFonts w:ascii="Tahoma" w:hAnsi="Tahoma" w:cs="Tahoma"/>
          <w:b/>
          <w:sz w:val="16"/>
          <w:szCs w:val="16"/>
          <w:lang w:val="ru-RU"/>
        </w:rPr>
        <w:t xml:space="preserve">     </w:t>
      </w:r>
    </w:p>
    <w:p w:rsidR="00E92C59" w:rsidRPr="00150D48" w:rsidRDefault="00E92C59" w:rsidP="00AB7277">
      <w:pPr>
        <w:tabs>
          <w:tab w:val="left" w:pos="400"/>
        </w:tabs>
        <w:jc w:val="both"/>
        <w:rPr>
          <w:rFonts w:ascii="Tahoma" w:hAnsi="Tahoma" w:cs="Tahoma"/>
          <w:b/>
          <w:sz w:val="16"/>
          <w:szCs w:val="16"/>
        </w:rPr>
      </w:pPr>
    </w:p>
    <w:p w:rsidR="00BD4A09" w:rsidRDefault="00A116C8" w:rsidP="00BD4A09">
      <w:pPr>
        <w:ind w:left="-142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</w:t>
      </w:r>
      <w:r w:rsidR="00BD4A09" w:rsidRPr="00684F38">
        <w:rPr>
          <w:rFonts w:ascii="Tahoma" w:hAnsi="Tahoma" w:cs="Tahoma"/>
          <w:b/>
          <w:sz w:val="28"/>
          <w:szCs w:val="28"/>
          <w:lang w:val="sr-Cyrl-CS"/>
        </w:rPr>
        <w:t>3</w:t>
      </w:r>
      <w:r w:rsidR="00BD4A09" w:rsidRPr="00684F38">
        <w:rPr>
          <w:rFonts w:ascii="Tahoma" w:hAnsi="Tahoma" w:cs="Tahoma"/>
          <w:b/>
          <w:sz w:val="28"/>
          <w:szCs w:val="28"/>
        </w:rPr>
        <w:t>0</w:t>
      </w:r>
      <w:r w:rsidR="00BD4A09" w:rsidRPr="00684F38">
        <w:rPr>
          <w:rFonts w:ascii="Tahoma" w:hAnsi="Tahoma" w:cs="Tahoma"/>
          <w:b/>
          <w:sz w:val="28"/>
          <w:szCs w:val="28"/>
          <w:lang w:val="sr-Cyrl-CS"/>
        </w:rPr>
        <w:t xml:space="preserve">. </w:t>
      </w:r>
      <w:r w:rsidR="00BD4A09" w:rsidRPr="00684F38">
        <w:rPr>
          <w:rFonts w:ascii="Tahoma" w:hAnsi="Tahoma" w:cs="Tahoma"/>
          <w:b/>
          <w:sz w:val="28"/>
          <w:szCs w:val="28"/>
          <w:lang w:val="sr-Cyrl-BA"/>
        </w:rPr>
        <w:t>септембар</w:t>
      </w:r>
      <w:r w:rsidR="00BD4A09" w:rsidRPr="00684F38">
        <w:rPr>
          <w:rFonts w:ascii="Tahoma" w:hAnsi="Tahoma" w:cs="Tahoma"/>
          <w:b/>
          <w:sz w:val="28"/>
          <w:szCs w:val="28"/>
          <w:lang w:val="sr-Cyrl-CS"/>
        </w:rPr>
        <w:t xml:space="preserve"> 2011. године, укупан број запослених 237 923</w:t>
      </w:r>
    </w:p>
    <w:p w:rsidR="00BD4A09" w:rsidRPr="00BD4A09" w:rsidRDefault="00BD4A09" w:rsidP="00BD4A09">
      <w:pPr>
        <w:ind w:left="-142"/>
        <w:jc w:val="both"/>
        <w:rPr>
          <w:rFonts w:ascii="Tahoma" w:hAnsi="Tahoma" w:cs="Tahoma"/>
          <w:b/>
          <w:sz w:val="28"/>
          <w:szCs w:val="28"/>
        </w:rPr>
      </w:pPr>
    </w:p>
    <w:p w:rsidR="00BD4A09" w:rsidRPr="00A116C8" w:rsidRDefault="00BD4A09" w:rsidP="00A116C8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A116C8">
        <w:rPr>
          <w:rFonts w:ascii="Tahoma" w:hAnsi="Tahoma" w:cs="Tahoma"/>
          <w:sz w:val="18"/>
          <w:szCs w:val="18"/>
          <w:lang w:val="sr-Cyrl-CS"/>
        </w:rPr>
        <w:t xml:space="preserve">Укупан број запослених у Републици Српској у септембру 2011. године износи 237 923 што је у односу на март 2011. године, када је било 239 988 запослених, мање за 0,9%. Од укупног броја запослених, 200 301 лице је запослено у пословним субјектима док се   37 622 односи на предузетнике и лица запослена код њих. </w:t>
      </w:r>
    </w:p>
    <w:p w:rsidR="00BD4A09" w:rsidRPr="00A116C8" w:rsidRDefault="00BD4A09" w:rsidP="00A116C8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D4A09" w:rsidRPr="00A116C8" w:rsidRDefault="00BD4A09" w:rsidP="00A116C8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A116C8">
        <w:rPr>
          <w:rFonts w:ascii="Tahoma" w:hAnsi="Tahoma" w:cs="Tahoma"/>
          <w:sz w:val="18"/>
          <w:szCs w:val="18"/>
          <w:lang w:val="sr-Cyrl-CS"/>
        </w:rPr>
        <w:t xml:space="preserve">Раст броја запослених забиљежен је у подручјима: Пословање некретнинама, изнајмљивање и пословне дјелатности за 2,2%, Вађење руде и камена </w:t>
      </w:r>
      <w:r w:rsidR="006702DF" w:rsidRPr="00A116C8">
        <w:rPr>
          <w:rFonts w:ascii="Tahoma" w:hAnsi="Tahoma" w:cs="Tahoma"/>
          <w:sz w:val="18"/>
          <w:szCs w:val="18"/>
          <w:lang w:val="sr-Cyrl-CS"/>
        </w:rPr>
        <w:t xml:space="preserve">за </w:t>
      </w:r>
      <w:r w:rsidRPr="00A116C8">
        <w:rPr>
          <w:rFonts w:ascii="Tahoma" w:hAnsi="Tahoma" w:cs="Tahoma"/>
          <w:sz w:val="18"/>
          <w:szCs w:val="18"/>
          <w:lang w:val="sr-Cyrl-CS"/>
        </w:rPr>
        <w:t xml:space="preserve">1,9%, Остале </w:t>
      </w:r>
      <w:proofErr w:type="spellStart"/>
      <w:r w:rsidR="005F1C68" w:rsidRPr="00A116C8">
        <w:rPr>
          <w:rFonts w:ascii="Tahoma" w:hAnsi="Tahoma" w:cs="Tahoma"/>
          <w:sz w:val="18"/>
          <w:szCs w:val="18"/>
          <w:lang w:val="sr-Cyrl-CS"/>
        </w:rPr>
        <w:t>јавне</w:t>
      </w:r>
      <w:proofErr w:type="spellEnd"/>
      <w:r w:rsidR="005F1C68" w:rsidRPr="00A116C8">
        <w:rPr>
          <w:rFonts w:ascii="Tahoma" w:hAnsi="Tahoma" w:cs="Tahoma"/>
          <w:sz w:val="18"/>
          <w:szCs w:val="18"/>
          <w:lang w:val="sr-Cyrl-CS"/>
        </w:rPr>
        <w:t xml:space="preserve">, </w:t>
      </w:r>
      <w:r w:rsidRPr="00A116C8">
        <w:rPr>
          <w:rFonts w:ascii="Tahoma" w:hAnsi="Tahoma" w:cs="Tahoma"/>
          <w:sz w:val="18"/>
          <w:szCs w:val="18"/>
          <w:lang w:val="sr-Cyrl-CS"/>
        </w:rPr>
        <w:t>комуналне, друштвене</w:t>
      </w:r>
      <w:r w:rsidR="005F1C68" w:rsidRPr="00A116C8">
        <w:rPr>
          <w:rFonts w:ascii="Tahoma" w:hAnsi="Tahoma" w:cs="Tahoma"/>
          <w:sz w:val="18"/>
          <w:szCs w:val="18"/>
          <w:lang w:val="sr-Cyrl-CS"/>
        </w:rPr>
        <w:t>, социјалне</w:t>
      </w:r>
      <w:r w:rsidRPr="00A116C8">
        <w:rPr>
          <w:rFonts w:ascii="Tahoma" w:hAnsi="Tahoma" w:cs="Tahoma"/>
          <w:sz w:val="18"/>
          <w:szCs w:val="18"/>
          <w:lang w:val="sr-Cyrl-CS"/>
        </w:rPr>
        <w:t xml:space="preserve"> и личне услужне </w:t>
      </w:r>
      <w:r w:rsidR="005F1C68" w:rsidRPr="00A116C8">
        <w:rPr>
          <w:rFonts w:ascii="Tahoma" w:hAnsi="Tahoma" w:cs="Tahoma"/>
          <w:sz w:val="18"/>
          <w:szCs w:val="18"/>
          <w:lang w:val="sr-Cyrl-CS"/>
        </w:rPr>
        <w:t>дјелатности</w:t>
      </w:r>
      <w:r w:rsidRPr="00A116C8">
        <w:rPr>
          <w:rFonts w:ascii="Tahoma" w:hAnsi="Tahoma" w:cs="Tahoma"/>
          <w:sz w:val="18"/>
          <w:szCs w:val="18"/>
          <w:lang w:val="sr-Cyrl-CS"/>
        </w:rPr>
        <w:t xml:space="preserve"> за </w:t>
      </w:r>
      <w:r w:rsidR="005F1C68" w:rsidRPr="00A116C8">
        <w:rPr>
          <w:rFonts w:ascii="Tahoma" w:hAnsi="Tahoma" w:cs="Tahoma"/>
          <w:sz w:val="18"/>
          <w:szCs w:val="18"/>
          <w:lang w:val="sr-Cyrl-CS"/>
        </w:rPr>
        <w:t xml:space="preserve">  1,9%, </w:t>
      </w:r>
      <w:r w:rsidRPr="00A116C8">
        <w:rPr>
          <w:rFonts w:ascii="Tahoma" w:hAnsi="Tahoma" w:cs="Tahoma"/>
          <w:sz w:val="18"/>
          <w:szCs w:val="18"/>
          <w:lang w:val="sr-Cyrl-CS"/>
        </w:rPr>
        <w:t xml:space="preserve">Пољопривреда, лов и шумарство за 1,6%. </w:t>
      </w:r>
    </w:p>
    <w:p w:rsidR="00BD4A09" w:rsidRPr="00A116C8" w:rsidRDefault="00BD4A09" w:rsidP="00A116C8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D4A09" w:rsidRPr="00A116C8" w:rsidRDefault="00BD4A09" w:rsidP="00A116C8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A116C8">
        <w:rPr>
          <w:rFonts w:ascii="Tahoma" w:hAnsi="Tahoma" w:cs="Tahoma"/>
          <w:sz w:val="18"/>
          <w:szCs w:val="18"/>
          <w:lang w:val="sr-Cyrl-CS"/>
        </w:rPr>
        <w:t>Посматрано по подручјима дјелатности  број запослених  смањио се у подручјима: Рибарство</w:t>
      </w:r>
      <w:r w:rsidR="006702DF" w:rsidRPr="00A116C8">
        <w:rPr>
          <w:rFonts w:ascii="Tahoma" w:hAnsi="Tahoma" w:cs="Tahoma"/>
          <w:sz w:val="18"/>
          <w:szCs w:val="18"/>
          <w:lang w:val="sr-Cyrl-CS"/>
        </w:rPr>
        <w:t xml:space="preserve"> за</w:t>
      </w:r>
      <w:r w:rsidRPr="00A116C8">
        <w:rPr>
          <w:rFonts w:ascii="Tahoma" w:hAnsi="Tahoma" w:cs="Tahoma"/>
          <w:sz w:val="18"/>
          <w:szCs w:val="18"/>
          <w:lang w:val="sr-Cyrl-CS"/>
        </w:rPr>
        <w:t xml:space="preserve"> 9,8%, Угоститељство за 7,4%, </w:t>
      </w:r>
      <w:r w:rsidR="006702DF" w:rsidRPr="00A116C8">
        <w:rPr>
          <w:rFonts w:ascii="Tahoma" w:hAnsi="Tahoma" w:cs="Tahoma"/>
          <w:sz w:val="18"/>
          <w:szCs w:val="18"/>
          <w:lang w:val="sr-Cyrl-CS"/>
        </w:rPr>
        <w:t xml:space="preserve">Трговина на велико и трговина на мало, оправка моторних возила, мотоцикала и предмета за личну употребу и домаћинство за </w:t>
      </w:r>
      <w:r w:rsidRPr="00A116C8">
        <w:rPr>
          <w:rFonts w:ascii="Tahoma" w:hAnsi="Tahoma" w:cs="Tahoma"/>
          <w:sz w:val="18"/>
          <w:szCs w:val="18"/>
          <w:lang w:val="sr-Cyrl-CS"/>
        </w:rPr>
        <w:t xml:space="preserve">2,4%, </w:t>
      </w:r>
      <w:r w:rsidR="00473EEC" w:rsidRPr="00A116C8">
        <w:rPr>
          <w:rFonts w:ascii="Tahoma" w:hAnsi="Tahoma" w:cs="Tahoma"/>
          <w:sz w:val="18"/>
          <w:szCs w:val="18"/>
          <w:lang w:val="sr-Cyrl-CS"/>
        </w:rPr>
        <w:t>Образовање</w:t>
      </w:r>
      <w:r w:rsidR="006702DF" w:rsidRPr="00A116C8">
        <w:rPr>
          <w:rFonts w:ascii="Tahoma" w:hAnsi="Tahoma" w:cs="Tahoma"/>
          <w:sz w:val="18"/>
          <w:szCs w:val="18"/>
          <w:lang w:val="sr-Cyrl-CS"/>
        </w:rPr>
        <w:t xml:space="preserve"> за </w:t>
      </w:r>
      <w:r w:rsidR="00473EEC" w:rsidRPr="00A116C8">
        <w:rPr>
          <w:rFonts w:ascii="Tahoma" w:hAnsi="Tahoma" w:cs="Tahoma"/>
          <w:sz w:val="18"/>
          <w:szCs w:val="18"/>
          <w:lang w:val="sr-Cyrl-CS"/>
        </w:rPr>
        <w:t>1,7</w:t>
      </w:r>
      <w:r w:rsidRPr="00A116C8">
        <w:rPr>
          <w:rFonts w:ascii="Tahoma" w:hAnsi="Tahoma" w:cs="Tahoma"/>
          <w:sz w:val="18"/>
          <w:szCs w:val="18"/>
          <w:lang w:val="sr-Cyrl-CS"/>
        </w:rPr>
        <w:t>%.</w:t>
      </w:r>
    </w:p>
    <w:p w:rsidR="00E92C59" w:rsidRPr="00BD4A09" w:rsidRDefault="00BD4A09" w:rsidP="00A116C8">
      <w:pPr>
        <w:jc w:val="both"/>
        <w:rPr>
          <w:rFonts w:ascii="Tahoma" w:hAnsi="Tahoma" w:cs="Tahoma"/>
          <w:sz w:val="18"/>
          <w:szCs w:val="18"/>
        </w:rPr>
      </w:pPr>
      <w:r w:rsidRPr="00684F38">
        <w:rPr>
          <w:rFonts w:ascii="Tahoma" w:hAnsi="Tahoma" w:cs="Tahoma"/>
          <w:sz w:val="18"/>
          <w:szCs w:val="18"/>
          <w:lang w:val="ru-RU"/>
        </w:rPr>
        <w:t xml:space="preserve"> </w:t>
      </w:r>
    </w:p>
    <w:p w:rsidR="001561A7" w:rsidRPr="00150D48" w:rsidRDefault="00EB4B44" w:rsidP="0029071F">
      <w:pPr>
        <w:jc w:val="both"/>
        <w:outlineLvl w:val="0"/>
        <w:rPr>
          <w:rFonts w:ascii="Tahoma" w:hAnsi="Tahoma" w:cs="Tahoma"/>
          <w:b/>
          <w:sz w:val="28"/>
          <w:szCs w:val="28"/>
          <w:lang w:val="sr-Cyrl-BA"/>
        </w:rPr>
      </w:pPr>
      <w:r w:rsidRPr="00EB4B44">
        <w:rPr>
          <w:rFonts w:ascii="Tahoma" w:hAnsi="Tahoma" w:cs="Tahoma"/>
          <w:noProof/>
          <w:sz w:val="16"/>
          <w:szCs w:val="16"/>
          <w:lang w:val="sr-Cyrl-BA" w:eastAsia="zh-TW"/>
        </w:rPr>
        <w:lastRenderedPageBreak/>
        <w:pict>
          <v:shape id="_x0000_s1068" type="#_x0000_t202" style="position:absolute;left:0;text-align:left;margin-left:390pt;margin-top:13.15pt;width:38.45pt;height:18.8pt;z-index:251660288;mso-height-percent:200;mso-height-percent:200;mso-width-relative:margin;mso-height-relative:margin" strokecolor="white">
            <v:textbox style="mso-next-textbox:#_x0000_s1068;mso-fit-shape-to-text:t">
              <w:txbxContent>
                <w:p w:rsidR="005F1C68" w:rsidRPr="00A56A4A" w:rsidRDefault="005F1C68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B4B44">
        <w:rPr>
          <w:rFonts w:ascii="Tahoma" w:hAnsi="Tahoma" w:cs="Tahoma"/>
          <w:b/>
          <w:noProof/>
        </w:rPr>
        <w:pict>
          <v:shape id="_x0000_s1069" type="#_x0000_t202" style="position:absolute;left:0;text-align:left;margin-left:437.7pt;margin-top:1pt;width:38.45pt;height:18.8pt;z-index:251661312;mso-height-percent:200;mso-height-percent:200;mso-width-relative:margin;mso-height-relative:margin" strokecolor="white">
            <v:textbox style="mso-next-textbox:#_x0000_s1069;mso-fit-shape-to-text:t">
              <w:txbxContent>
                <w:p w:rsidR="005F1C68" w:rsidRPr="00A56A4A" w:rsidRDefault="005F1C68" w:rsidP="00A56A4A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561A7" w:rsidRPr="00150D48">
        <w:rPr>
          <w:rFonts w:ascii="Tahoma" w:hAnsi="Tahoma" w:cs="Tahoma"/>
          <w:b/>
          <w:sz w:val="28"/>
          <w:szCs w:val="28"/>
          <w:lang w:val="sr-Cyrl-BA"/>
        </w:rPr>
        <w:t xml:space="preserve">Мјесечна инфлација у </w:t>
      </w:r>
      <w:r w:rsidR="00B25132" w:rsidRPr="00150D48">
        <w:rPr>
          <w:rFonts w:ascii="Tahoma" w:hAnsi="Tahoma" w:cs="Tahoma"/>
          <w:b/>
          <w:sz w:val="28"/>
          <w:szCs w:val="28"/>
          <w:lang w:val="sr-Cyrl-BA"/>
        </w:rPr>
        <w:t>новембру</w:t>
      </w:r>
      <w:r w:rsidR="001561A7" w:rsidRPr="00150D48">
        <w:rPr>
          <w:rFonts w:ascii="Tahoma" w:hAnsi="Tahoma" w:cs="Tahoma"/>
          <w:b/>
          <w:sz w:val="28"/>
          <w:szCs w:val="28"/>
          <w:lang w:val="sr-Cyrl-BA"/>
        </w:rPr>
        <w:t xml:space="preserve"> 2011.</w:t>
      </w:r>
      <w:r w:rsidR="00B25132" w:rsidRPr="00150D48">
        <w:rPr>
          <w:rFonts w:ascii="Tahoma" w:hAnsi="Tahoma" w:cs="Tahoma"/>
          <w:b/>
          <w:sz w:val="28"/>
          <w:szCs w:val="28"/>
          <w:lang w:val="sr-Cyrl-BA"/>
        </w:rPr>
        <w:t xml:space="preserve"> године 0</w:t>
      </w:r>
      <w:r w:rsidR="006869EB" w:rsidRPr="00150D48">
        <w:rPr>
          <w:rFonts w:ascii="Tahoma" w:hAnsi="Tahoma" w:cs="Tahoma"/>
          <w:b/>
          <w:sz w:val="28"/>
          <w:szCs w:val="28"/>
          <w:lang w:val="sr-Cyrl-BA"/>
        </w:rPr>
        <w:t>,</w:t>
      </w:r>
      <w:r w:rsidR="00B25132" w:rsidRPr="00150D48">
        <w:rPr>
          <w:rFonts w:ascii="Tahoma" w:hAnsi="Tahoma" w:cs="Tahoma"/>
          <w:b/>
          <w:sz w:val="28"/>
          <w:szCs w:val="28"/>
          <w:lang w:val="sr-Cyrl-BA"/>
        </w:rPr>
        <w:t>3</w:t>
      </w:r>
      <w:r w:rsidR="006869EB" w:rsidRPr="00150D48">
        <w:rPr>
          <w:rFonts w:ascii="Tahoma" w:hAnsi="Tahoma" w:cs="Tahoma"/>
          <w:b/>
          <w:sz w:val="28"/>
          <w:szCs w:val="28"/>
          <w:lang w:val="sr-Cyrl-BA"/>
        </w:rPr>
        <w:t>%</w:t>
      </w:r>
    </w:p>
    <w:p w:rsidR="001561A7" w:rsidRPr="00150D48" w:rsidRDefault="001561A7" w:rsidP="0020048F">
      <w:pPr>
        <w:jc w:val="both"/>
        <w:rPr>
          <w:rFonts w:ascii="Tahoma" w:hAnsi="Tahoma" w:cs="Tahoma"/>
          <w:sz w:val="24"/>
          <w:szCs w:val="24"/>
          <w:lang w:val="sr-Cyrl-BA"/>
        </w:rPr>
      </w:pPr>
      <w:r w:rsidRPr="00150D48">
        <w:rPr>
          <w:rFonts w:ascii="Tahoma" w:hAnsi="Tahoma" w:cs="Tahoma"/>
          <w:sz w:val="24"/>
          <w:szCs w:val="24"/>
          <w:lang w:val="sr-Cyrl-BA"/>
        </w:rPr>
        <w:t>Годишња инфлација (</w:t>
      </w:r>
      <w:r w:rsidR="005D7CF8" w:rsidRPr="00150D48">
        <w:rPr>
          <w:rFonts w:ascii="Tahoma" w:hAnsi="Tahoma" w:cs="Tahoma"/>
          <w:sz w:val="24"/>
          <w:szCs w:val="24"/>
          <w:lang w:val="sr-Cyrl-BA"/>
        </w:rPr>
        <w:t>X</w:t>
      </w:r>
      <w:r w:rsidR="00B25132" w:rsidRPr="00150D48">
        <w:rPr>
          <w:rFonts w:ascii="Tahoma" w:hAnsi="Tahoma" w:cs="Tahoma"/>
          <w:sz w:val="24"/>
          <w:szCs w:val="24"/>
        </w:rPr>
        <w:t>I</w:t>
      </w:r>
      <w:r w:rsidRPr="00150D48">
        <w:rPr>
          <w:rFonts w:ascii="Tahoma" w:hAnsi="Tahoma" w:cs="Tahoma"/>
          <w:sz w:val="24"/>
          <w:szCs w:val="24"/>
          <w:lang w:val="sr-Cyrl-BA"/>
        </w:rPr>
        <w:t xml:space="preserve"> 2011/</w:t>
      </w:r>
      <w:r w:rsidR="005D7CF8" w:rsidRPr="00150D48">
        <w:rPr>
          <w:rFonts w:ascii="Tahoma" w:hAnsi="Tahoma" w:cs="Tahoma"/>
          <w:sz w:val="24"/>
          <w:szCs w:val="24"/>
        </w:rPr>
        <w:t>X</w:t>
      </w:r>
      <w:r w:rsidR="00B25132" w:rsidRPr="00150D48">
        <w:rPr>
          <w:rFonts w:ascii="Tahoma" w:hAnsi="Tahoma" w:cs="Tahoma"/>
          <w:sz w:val="24"/>
          <w:szCs w:val="24"/>
        </w:rPr>
        <w:t>I</w:t>
      </w:r>
      <w:r w:rsidRPr="00150D48">
        <w:rPr>
          <w:rFonts w:ascii="Tahoma" w:hAnsi="Tahoma" w:cs="Tahoma"/>
          <w:sz w:val="24"/>
          <w:szCs w:val="24"/>
          <w:lang w:val="sr-Cyrl-BA"/>
        </w:rPr>
        <w:t xml:space="preserve"> 2010</w:t>
      </w:r>
      <w:r w:rsidR="006869EB" w:rsidRPr="00150D48">
        <w:rPr>
          <w:rFonts w:ascii="Tahoma" w:hAnsi="Tahoma" w:cs="Tahoma"/>
          <w:sz w:val="24"/>
          <w:szCs w:val="24"/>
          <w:lang w:val="sr-Cyrl-BA"/>
        </w:rPr>
        <w:t>.</w:t>
      </w:r>
      <w:r w:rsidR="00282D51" w:rsidRPr="00150D48">
        <w:rPr>
          <w:rFonts w:ascii="Tahoma" w:hAnsi="Tahoma" w:cs="Tahoma"/>
          <w:sz w:val="24"/>
          <w:szCs w:val="24"/>
          <w:lang w:val="sr-Cyrl-BA"/>
        </w:rPr>
        <w:t>) 4</w:t>
      </w:r>
      <w:r w:rsidR="00924AD7" w:rsidRPr="00150D48">
        <w:rPr>
          <w:rFonts w:ascii="Tahoma" w:hAnsi="Tahoma" w:cs="Tahoma"/>
          <w:sz w:val="24"/>
          <w:szCs w:val="24"/>
          <w:lang w:val="sr-Cyrl-BA"/>
        </w:rPr>
        <w:t>,</w:t>
      </w:r>
      <w:r w:rsidR="00B25132" w:rsidRPr="00150D48">
        <w:rPr>
          <w:rFonts w:ascii="Tahoma" w:hAnsi="Tahoma" w:cs="Tahoma"/>
          <w:sz w:val="24"/>
          <w:szCs w:val="24"/>
        </w:rPr>
        <w:t>1</w:t>
      </w:r>
      <w:r w:rsidRPr="00150D48">
        <w:rPr>
          <w:rFonts w:ascii="Tahoma" w:hAnsi="Tahoma" w:cs="Tahoma"/>
          <w:sz w:val="24"/>
          <w:szCs w:val="24"/>
          <w:lang w:val="sr-Cyrl-BA"/>
        </w:rPr>
        <w:t>%</w:t>
      </w:r>
    </w:p>
    <w:p w:rsidR="001561A7" w:rsidRPr="00150D48" w:rsidRDefault="001561A7" w:rsidP="0020048F">
      <w:pPr>
        <w:ind w:left="-142"/>
        <w:jc w:val="both"/>
        <w:outlineLvl w:val="0"/>
        <w:rPr>
          <w:rFonts w:ascii="Tahoma" w:hAnsi="Tahoma" w:cs="Tahoma"/>
          <w:lang w:val="sr-Cyrl-CS"/>
        </w:rPr>
      </w:pPr>
    </w:p>
    <w:p w:rsidR="001561A7" w:rsidRPr="00150D48" w:rsidRDefault="00BF01FE" w:rsidP="0020048F">
      <w:pPr>
        <w:pStyle w:val="Body2"/>
        <w:tabs>
          <w:tab w:val="left" w:pos="720"/>
        </w:tabs>
        <w:ind w:firstLine="0"/>
        <w:rPr>
          <w:rFonts w:ascii="Tahoma" w:hAnsi="Tahoma" w:cs="Tahoma"/>
          <w:szCs w:val="18"/>
          <w:lang w:val="sr-Cyrl-BA"/>
        </w:rPr>
      </w:pPr>
      <w:r w:rsidRPr="00150D48">
        <w:rPr>
          <w:rFonts w:ascii="Tahoma" w:hAnsi="Tahoma" w:cs="Tahoma"/>
          <w:szCs w:val="18"/>
          <w:lang w:val="sr-Cyrl-BA"/>
        </w:rPr>
        <w:t xml:space="preserve">Цијене производа и услуга, које се користе за личну потрошњу у Републици Српској, мјерене индексом потрошачких цијена, у </w:t>
      </w:r>
      <w:r w:rsidR="00B25132" w:rsidRPr="00150D48">
        <w:rPr>
          <w:rFonts w:ascii="Tahoma" w:hAnsi="Tahoma" w:cs="Tahoma"/>
          <w:szCs w:val="18"/>
          <w:lang w:val="sr-Cyrl-BA"/>
        </w:rPr>
        <w:t>новембру</w:t>
      </w:r>
      <w:r w:rsidR="005D7CF8" w:rsidRPr="00150D48">
        <w:rPr>
          <w:rFonts w:ascii="Tahoma" w:hAnsi="Tahoma" w:cs="Tahoma"/>
          <w:szCs w:val="18"/>
        </w:rPr>
        <w:t xml:space="preserve"> </w:t>
      </w:r>
      <w:r w:rsidRPr="00150D48">
        <w:rPr>
          <w:rFonts w:ascii="Tahoma" w:hAnsi="Tahoma" w:cs="Tahoma"/>
          <w:szCs w:val="18"/>
          <w:lang w:val="sr-Cyrl-BA"/>
        </w:rPr>
        <w:t xml:space="preserve">2011. године у односу на </w:t>
      </w:r>
      <w:r w:rsidR="00B25132" w:rsidRPr="00150D48">
        <w:rPr>
          <w:rFonts w:ascii="Tahoma" w:hAnsi="Tahoma" w:cs="Tahoma"/>
          <w:szCs w:val="18"/>
          <w:lang w:val="sr-Cyrl-BA"/>
        </w:rPr>
        <w:t>октобар</w:t>
      </w:r>
      <w:r w:rsidRPr="00150D48">
        <w:rPr>
          <w:rFonts w:ascii="Tahoma" w:hAnsi="Tahoma" w:cs="Tahoma"/>
          <w:szCs w:val="18"/>
          <w:lang w:val="sr-Cyrl-BA"/>
        </w:rPr>
        <w:t xml:space="preserve"> 2011. године, у просијеку су </w:t>
      </w:r>
      <w:r w:rsidR="005D7CF8" w:rsidRPr="00150D48">
        <w:rPr>
          <w:rFonts w:ascii="Tahoma" w:hAnsi="Tahoma" w:cs="Tahoma"/>
          <w:szCs w:val="18"/>
          <w:lang w:val="sr-Cyrl-BA"/>
        </w:rPr>
        <w:t xml:space="preserve">више за </w:t>
      </w:r>
      <w:r w:rsidR="00B25132" w:rsidRPr="00150D48">
        <w:rPr>
          <w:rFonts w:ascii="Tahoma" w:hAnsi="Tahoma" w:cs="Tahoma"/>
          <w:szCs w:val="18"/>
          <w:lang w:val="sr-Cyrl-BA"/>
        </w:rPr>
        <w:t>0</w:t>
      </w:r>
      <w:r w:rsidR="005D7CF8" w:rsidRPr="00150D48">
        <w:rPr>
          <w:rFonts w:ascii="Tahoma" w:hAnsi="Tahoma" w:cs="Tahoma"/>
          <w:szCs w:val="18"/>
          <w:lang w:val="sr-Cyrl-BA"/>
        </w:rPr>
        <w:t>,</w:t>
      </w:r>
      <w:r w:rsidR="00B25132" w:rsidRPr="00150D48">
        <w:rPr>
          <w:rFonts w:ascii="Tahoma" w:hAnsi="Tahoma" w:cs="Tahoma"/>
          <w:szCs w:val="18"/>
          <w:lang w:val="sr-Cyrl-BA"/>
        </w:rPr>
        <w:t>3</w:t>
      </w:r>
      <w:r w:rsidR="005D7CF8" w:rsidRPr="00150D48">
        <w:rPr>
          <w:rFonts w:ascii="Tahoma" w:hAnsi="Tahoma" w:cs="Tahoma"/>
          <w:szCs w:val="18"/>
          <w:lang w:val="sr-Cyrl-BA"/>
        </w:rPr>
        <w:t>%</w:t>
      </w:r>
      <w:r w:rsidRPr="00150D48">
        <w:rPr>
          <w:rFonts w:ascii="Tahoma" w:hAnsi="Tahoma" w:cs="Tahoma"/>
          <w:szCs w:val="18"/>
          <w:lang w:val="sr-Cyrl-BA"/>
        </w:rPr>
        <w:t>.</w:t>
      </w:r>
    </w:p>
    <w:p w:rsidR="00623697" w:rsidRPr="00150D48" w:rsidRDefault="00623697" w:rsidP="0020048F">
      <w:pPr>
        <w:pStyle w:val="Body2"/>
        <w:tabs>
          <w:tab w:val="left" w:pos="720"/>
        </w:tabs>
        <w:ind w:firstLine="0"/>
        <w:rPr>
          <w:rFonts w:ascii="Tahoma" w:hAnsi="Tahoma" w:cs="Tahoma"/>
          <w:szCs w:val="18"/>
          <w:lang w:val="sr-Cyrl-BA"/>
        </w:rPr>
      </w:pPr>
    </w:p>
    <w:p w:rsidR="006257F4" w:rsidRPr="00150D48" w:rsidRDefault="006257F4" w:rsidP="006257F4">
      <w:pPr>
        <w:jc w:val="both"/>
        <w:rPr>
          <w:rFonts w:ascii="Tahoma" w:hAnsi="Tahoma" w:cs="Tahoma"/>
          <w:i/>
          <w:sz w:val="18"/>
          <w:szCs w:val="18"/>
          <w:lang w:val="sr-Cyrl-BA"/>
        </w:rPr>
      </w:pPr>
      <w:r w:rsidRPr="00150D48">
        <w:rPr>
          <w:rFonts w:ascii="Tahoma" w:hAnsi="Tahoma" w:cs="Tahoma"/>
          <w:sz w:val="18"/>
          <w:szCs w:val="18"/>
          <w:lang w:val="sr-Cyrl-BA"/>
        </w:rPr>
        <w:t xml:space="preserve">Највећи раст је забиљежен у одјељцима </w:t>
      </w:r>
      <w:r w:rsidRPr="00150D48">
        <w:rPr>
          <w:rFonts w:ascii="Tahoma" w:hAnsi="Tahoma" w:cs="Tahoma"/>
          <w:i/>
          <w:sz w:val="18"/>
          <w:szCs w:val="18"/>
          <w:lang w:val="sr-Cyrl-BA"/>
        </w:rPr>
        <w:t>Превоз</w:t>
      </w:r>
      <w:r w:rsidRPr="00150D48">
        <w:rPr>
          <w:rFonts w:ascii="Tahoma" w:hAnsi="Tahoma" w:cs="Tahoma"/>
          <w:sz w:val="18"/>
          <w:szCs w:val="18"/>
          <w:lang w:val="sr-Cyrl-BA"/>
        </w:rPr>
        <w:t xml:space="preserve"> и</w:t>
      </w:r>
      <w:r w:rsidRPr="00150D48">
        <w:rPr>
          <w:rFonts w:ascii="Tahoma" w:hAnsi="Tahoma" w:cs="Tahoma"/>
          <w:i/>
          <w:sz w:val="18"/>
          <w:szCs w:val="18"/>
          <w:lang w:val="sr-Cyrl-BA"/>
        </w:rPr>
        <w:t xml:space="preserve"> Храна и безалкохолна пића</w:t>
      </w:r>
      <w:r w:rsidRPr="00150D48">
        <w:rPr>
          <w:rFonts w:ascii="Tahoma" w:hAnsi="Tahoma" w:cs="Tahoma"/>
          <w:sz w:val="18"/>
          <w:szCs w:val="18"/>
          <w:lang w:val="sr-Cyrl-BA"/>
        </w:rPr>
        <w:t xml:space="preserve">, а највећи пад цијена у новембру забиљежен је у одјељку </w:t>
      </w:r>
      <w:r w:rsidRPr="00150D48">
        <w:rPr>
          <w:rFonts w:ascii="Tahoma" w:hAnsi="Tahoma" w:cs="Tahoma"/>
          <w:i/>
          <w:sz w:val="18"/>
          <w:szCs w:val="18"/>
          <w:lang w:val="sr-Cyrl-BA"/>
        </w:rPr>
        <w:t>Остала добра и услуге.</w:t>
      </w:r>
    </w:p>
    <w:p w:rsidR="00623697" w:rsidRPr="00150D48" w:rsidRDefault="00623697" w:rsidP="00623697">
      <w:pPr>
        <w:jc w:val="both"/>
        <w:rPr>
          <w:rFonts w:ascii="Tahoma" w:hAnsi="Tahoma" w:cs="Tahoma"/>
          <w:sz w:val="18"/>
          <w:szCs w:val="18"/>
        </w:rPr>
      </w:pPr>
    </w:p>
    <w:p w:rsidR="006257F4" w:rsidRPr="00150D48" w:rsidRDefault="006257F4" w:rsidP="006257F4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Повећање цијена у одјељку </w:t>
      </w:r>
      <w:r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Превоз </w:t>
      </w:r>
      <w:r w:rsidRPr="00150D48">
        <w:rPr>
          <w:rFonts w:ascii="Tahoma" w:eastAsia="Calibri" w:hAnsi="Tahoma" w:cs="Tahoma"/>
          <w:sz w:val="18"/>
          <w:szCs w:val="18"/>
          <w:lang w:val="sr-Cyrl-BA"/>
        </w:rPr>
        <w:t>за 0,7%</w:t>
      </w:r>
      <w:r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проузроковано је повећањем цијена у подгрупи </w:t>
      </w:r>
      <w:r w:rsidRPr="00150D48">
        <w:rPr>
          <w:rFonts w:ascii="Tahoma" w:eastAsia="Calibri" w:hAnsi="Tahoma" w:cs="Tahoma"/>
          <w:i/>
          <w:sz w:val="18"/>
          <w:szCs w:val="18"/>
          <w:lang w:val="sr-Cyrl-BA"/>
        </w:rPr>
        <w:t>Горива и мазива</w:t>
      </w:r>
      <w:r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 за 1,4% усљед повећања цијена свих врста горива.</w:t>
      </w:r>
    </w:p>
    <w:p w:rsidR="00623697" w:rsidRPr="00150D48" w:rsidRDefault="00623697" w:rsidP="00623697">
      <w:pPr>
        <w:jc w:val="both"/>
        <w:rPr>
          <w:rFonts w:ascii="Tahoma" w:hAnsi="Tahoma" w:cs="Tahoma"/>
          <w:i/>
          <w:sz w:val="18"/>
          <w:szCs w:val="18"/>
          <w:lang w:val="sr-Cyrl-BA"/>
        </w:rPr>
      </w:pPr>
    </w:p>
    <w:p w:rsidR="006257F4" w:rsidRPr="00150D48" w:rsidRDefault="006257F4" w:rsidP="006257F4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Група </w:t>
      </w:r>
      <w:r w:rsidRPr="00150D48">
        <w:rPr>
          <w:rFonts w:ascii="Tahoma" w:eastAsia="Calibri" w:hAnsi="Tahoma" w:cs="Tahoma"/>
          <w:i/>
          <w:sz w:val="18"/>
          <w:szCs w:val="18"/>
          <w:lang w:val="sr-Cyrl-BA"/>
        </w:rPr>
        <w:t>Храна</w:t>
      </w:r>
      <w:r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 у оквиру одјељка </w:t>
      </w:r>
      <w:r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Храна и безалкохолна пића </w:t>
      </w:r>
      <w:r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у новембру</w:t>
      </w:r>
      <w:r w:rsidRPr="00150D48">
        <w:rPr>
          <w:rFonts w:ascii="Tahoma" w:eastAsia="Calibri" w:hAnsi="Tahoma" w:cs="Tahoma"/>
          <w:sz w:val="18"/>
          <w:szCs w:val="18"/>
        </w:rPr>
        <w:t xml:space="preserve"> je</w:t>
      </w:r>
      <w:r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забиљежила раст од 0,6%. Иако су подгрупе </w:t>
      </w:r>
      <w:r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Уља и масноће и Воће </w:t>
      </w:r>
      <w:r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забиљежиле пад од 2,6%,због смањења цијене јестивог уља за 3,5%, односно 2,1%, због појефтињења сезонског (цитрусног) воћа, то није довело до смањења групе на укупном нивоу. Највећи утицај на раст цијена у групи </w:t>
      </w:r>
      <w:r w:rsidRPr="00150D48">
        <w:rPr>
          <w:rFonts w:ascii="Tahoma" w:eastAsia="Calibri" w:hAnsi="Tahoma" w:cs="Tahoma"/>
          <w:i/>
          <w:sz w:val="18"/>
          <w:szCs w:val="18"/>
          <w:lang w:val="sr-Cyrl-BA"/>
        </w:rPr>
        <w:t>Храна</w:t>
      </w:r>
      <w:r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имало је повећање цијена у подгрупи </w:t>
      </w:r>
      <w:r w:rsidRPr="00150D48">
        <w:rPr>
          <w:rFonts w:ascii="Tahoma" w:eastAsia="Calibri" w:hAnsi="Tahoma" w:cs="Tahoma"/>
          <w:i/>
          <w:sz w:val="18"/>
          <w:szCs w:val="18"/>
          <w:lang w:val="sr-Cyrl-BA"/>
        </w:rPr>
        <w:t>Поврће</w:t>
      </w:r>
      <w:r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12,3%, усљед сезонског повећања цијена  поврћа, затим повећање цијена у подгрупи </w:t>
      </w:r>
      <w:r w:rsidRPr="00150D48">
        <w:rPr>
          <w:rFonts w:ascii="Tahoma" w:eastAsia="Calibri" w:hAnsi="Tahoma" w:cs="Tahoma"/>
          <w:i/>
          <w:sz w:val="18"/>
          <w:szCs w:val="18"/>
          <w:lang w:val="sr-Cyrl-BA"/>
        </w:rPr>
        <w:t>Остали прехрамбени производи</w:t>
      </w:r>
      <w:r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 за 0,7% због више цијене кухињске соли за 1,7%, прашка за пециво, квасца, шлага и пудинга за 1,2% и хомогенизоване дјечије хране за 1,1%. Овај мјесец повећање цијена биљеже и подгрупе </w:t>
      </w:r>
      <w:r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Месо 0,2% </w:t>
      </w:r>
      <w:r w:rsidRPr="00150D48">
        <w:rPr>
          <w:rFonts w:ascii="Tahoma" w:eastAsia="Calibri" w:hAnsi="Tahoma" w:cs="Tahoma"/>
          <w:sz w:val="18"/>
          <w:szCs w:val="18"/>
          <w:lang w:val="sr-Cyrl-BA"/>
        </w:rPr>
        <w:t>због поскупљења телетине и свињетине, као</w:t>
      </w:r>
      <w:r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 и Млијеко сир и јаја</w:t>
      </w:r>
      <w:r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за 0,2% усљед повећања цијене свјежег млијека за 0,9% и јогурта и киселог млијека за 0,5%, те подгрупа </w:t>
      </w:r>
      <w:r w:rsidRPr="00150D48">
        <w:rPr>
          <w:rFonts w:ascii="Tahoma" w:eastAsia="Calibri" w:hAnsi="Tahoma" w:cs="Tahoma"/>
          <w:i/>
          <w:sz w:val="18"/>
          <w:szCs w:val="18"/>
          <w:lang w:val="sr-Cyrl-BA"/>
        </w:rPr>
        <w:t>Хљеб и житарице</w:t>
      </w:r>
      <w:r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0,1% због поскупљења риже 3,9%, тјестенине 0,8% и свих врста кекса 0,3%. У групи </w:t>
      </w:r>
      <w:r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Безалкохолних пића </w:t>
      </w:r>
      <w:r w:rsidRPr="00150D48">
        <w:rPr>
          <w:rFonts w:ascii="Tahoma" w:eastAsia="Calibri" w:hAnsi="Tahoma" w:cs="Tahoma"/>
          <w:sz w:val="18"/>
          <w:szCs w:val="18"/>
          <w:lang w:val="sr-Cyrl-BA"/>
        </w:rPr>
        <w:t>цијене су у просјеку остале непромијењене.</w:t>
      </w:r>
    </w:p>
    <w:p w:rsidR="006257F4" w:rsidRPr="00150D48" w:rsidRDefault="006257F4" w:rsidP="006257F4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6257F4" w:rsidRPr="00150D48" w:rsidRDefault="006257F4" w:rsidP="006257F4">
      <w:pPr>
        <w:jc w:val="both"/>
        <w:rPr>
          <w:rFonts w:ascii="Tahoma" w:hAnsi="Tahoma" w:cs="Tahoma"/>
          <w:i/>
          <w:sz w:val="18"/>
          <w:szCs w:val="18"/>
          <w:lang w:val="sr-Cyrl-BA"/>
        </w:rPr>
      </w:pPr>
      <w:r w:rsidRPr="00150D48">
        <w:rPr>
          <w:rFonts w:ascii="Tahoma" w:hAnsi="Tahoma" w:cs="Tahoma"/>
          <w:sz w:val="18"/>
          <w:szCs w:val="18"/>
          <w:lang w:val="sr-Cyrl-BA"/>
        </w:rPr>
        <w:t xml:space="preserve">У новембру раст цијена забиљежен је и у одјељцима </w:t>
      </w:r>
      <w:r w:rsidRPr="00150D48">
        <w:rPr>
          <w:rFonts w:ascii="Tahoma" w:hAnsi="Tahoma" w:cs="Tahoma"/>
          <w:i/>
          <w:sz w:val="18"/>
          <w:szCs w:val="18"/>
          <w:lang w:val="sr-Cyrl-BA"/>
        </w:rPr>
        <w:t>Одјећа и обућа и Намјештај и покућство</w:t>
      </w:r>
      <w:r w:rsidRPr="00150D48">
        <w:rPr>
          <w:rFonts w:ascii="Tahoma" w:hAnsi="Tahoma" w:cs="Tahoma"/>
          <w:sz w:val="18"/>
          <w:szCs w:val="18"/>
          <w:lang w:val="sr-Cyrl-BA"/>
        </w:rPr>
        <w:t xml:space="preserve"> за 0,1%</w:t>
      </w:r>
      <w:r w:rsidRPr="00150D48">
        <w:rPr>
          <w:rFonts w:ascii="Tahoma" w:hAnsi="Tahoma" w:cs="Tahoma"/>
          <w:i/>
          <w:sz w:val="18"/>
          <w:szCs w:val="18"/>
          <w:lang w:val="sr-Cyrl-BA"/>
        </w:rPr>
        <w:t>.</w:t>
      </w:r>
    </w:p>
    <w:p w:rsidR="006257F4" w:rsidRPr="00150D48" w:rsidRDefault="006257F4" w:rsidP="006257F4">
      <w:pPr>
        <w:jc w:val="both"/>
        <w:rPr>
          <w:rFonts w:ascii="Tahoma" w:hAnsi="Tahoma" w:cs="Tahoma"/>
          <w:i/>
          <w:sz w:val="18"/>
          <w:szCs w:val="18"/>
          <w:lang w:val="sr-Cyrl-BA"/>
        </w:rPr>
      </w:pPr>
    </w:p>
    <w:p w:rsidR="006257F4" w:rsidRPr="00150D48" w:rsidRDefault="006257F4" w:rsidP="006257F4">
      <w:pPr>
        <w:jc w:val="both"/>
        <w:rPr>
          <w:rFonts w:ascii="Tahoma" w:hAnsi="Tahoma" w:cs="Tahoma"/>
          <w:sz w:val="18"/>
          <w:szCs w:val="18"/>
          <w:lang w:val="sr-Cyrl-BA"/>
        </w:rPr>
      </w:pPr>
      <w:r w:rsidRPr="00150D48">
        <w:rPr>
          <w:rFonts w:ascii="Tahoma" w:hAnsi="Tahoma" w:cs="Tahoma"/>
          <w:sz w:val="18"/>
          <w:szCs w:val="18"/>
          <w:lang w:val="sr-Cyrl-BA"/>
        </w:rPr>
        <w:t xml:space="preserve">У одјељцима </w:t>
      </w:r>
      <w:r w:rsidRPr="00150D48">
        <w:rPr>
          <w:rFonts w:ascii="Tahoma" w:hAnsi="Tahoma" w:cs="Tahoma"/>
          <w:i/>
          <w:sz w:val="18"/>
          <w:szCs w:val="18"/>
          <w:lang w:val="sr-Cyrl-BA"/>
        </w:rPr>
        <w:t>Становање</w:t>
      </w:r>
      <w:r w:rsidRPr="00150D48">
        <w:rPr>
          <w:rFonts w:ascii="Tahoma" w:hAnsi="Tahoma" w:cs="Tahoma"/>
          <w:sz w:val="18"/>
          <w:szCs w:val="18"/>
          <w:lang w:val="sr-Cyrl-BA"/>
        </w:rPr>
        <w:t xml:space="preserve">, </w:t>
      </w:r>
      <w:r w:rsidRPr="00150D48">
        <w:rPr>
          <w:rFonts w:ascii="Tahoma" w:hAnsi="Tahoma" w:cs="Tahoma"/>
          <w:i/>
          <w:sz w:val="18"/>
          <w:szCs w:val="18"/>
          <w:lang w:val="sr-Cyrl-BA"/>
        </w:rPr>
        <w:t>Комуникације</w:t>
      </w:r>
      <w:r w:rsidRPr="00150D48">
        <w:rPr>
          <w:rFonts w:ascii="Tahoma" w:hAnsi="Tahoma" w:cs="Tahoma"/>
          <w:sz w:val="18"/>
          <w:szCs w:val="18"/>
          <w:lang w:val="sr-Cyrl-BA"/>
        </w:rPr>
        <w:t xml:space="preserve">, </w:t>
      </w:r>
      <w:r w:rsidRPr="00150D48">
        <w:rPr>
          <w:rFonts w:ascii="Tahoma" w:hAnsi="Tahoma" w:cs="Tahoma"/>
          <w:i/>
          <w:sz w:val="18"/>
          <w:szCs w:val="18"/>
          <w:lang w:val="sr-Cyrl-BA"/>
        </w:rPr>
        <w:t>Образовање</w:t>
      </w:r>
      <w:r w:rsidRPr="00150D48">
        <w:rPr>
          <w:rFonts w:ascii="Tahoma" w:hAnsi="Tahoma" w:cs="Tahoma"/>
          <w:sz w:val="18"/>
          <w:szCs w:val="18"/>
          <w:lang w:val="sr-Cyrl-BA"/>
        </w:rPr>
        <w:t xml:space="preserve"> и </w:t>
      </w:r>
      <w:r w:rsidRPr="00150D48">
        <w:rPr>
          <w:rFonts w:ascii="Tahoma" w:hAnsi="Tahoma" w:cs="Tahoma"/>
          <w:i/>
          <w:sz w:val="18"/>
          <w:szCs w:val="18"/>
          <w:lang w:val="sr-Cyrl-BA"/>
        </w:rPr>
        <w:t>Ресторани и хотели</w:t>
      </w:r>
      <w:r w:rsidRPr="00150D48">
        <w:rPr>
          <w:rFonts w:ascii="Tahoma" w:hAnsi="Tahoma" w:cs="Tahoma"/>
          <w:sz w:val="18"/>
          <w:szCs w:val="18"/>
          <w:lang w:val="sr-Cyrl-BA"/>
        </w:rPr>
        <w:t xml:space="preserve"> цијене су у просијеку остале исте.</w:t>
      </w:r>
    </w:p>
    <w:p w:rsidR="006257F4" w:rsidRPr="00150D48" w:rsidRDefault="006257F4" w:rsidP="006257F4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6257F4" w:rsidRPr="00150D48" w:rsidRDefault="006257F4" w:rsidP="006257F4">
      <w:pPr>
        <w:jc w:val="both"/>
        <w:rPr>
          <w:rFonts w:ascii="Tahoma" w:eastAsia="Calibri" w:hAnsi="Tahoma" w:cs="Tahoma"/>
          <w:i/>
          <w:sz w:val="18"/>
          <w:szCs w:val="18"/>
          <w:lang w:val="sr-Cyrl-BA"/>
        </w:rPr>
      </w:pPr>
      <w:r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Смањење цијена у </w:t>
      </w:r>
      <w:proofErr w:type="spellStart"/>
      <w:r w:rsidRPr="00150D48">
        <w:rPr>
          <w:rFonts w:ascii="Tahoma" w:eastAsia="Calibri" w:hAnsi="Tahoma" w:cs="Tahoma"/>
          <w:sz w:val="18"/>
          <w:szCs w:val="18"/>
        </w:rPr>
        <w:t>новембру</w:t>
      </w:r>
      <w:proofErr w:type="spellEnd"/>
      <w:r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 забиљежено је у одјељцима </w:t>
      </w:r>
      <w:r w:rsidRPr="00150D48">
        <w:rPr>
          <w:rFonts w:ascii="Tahoma" w:eastAsia="Calibri" w:hAnsi="Tahoma" w:cs="Tahoma"/>
          <w:i/>
          <w:sz w:val="18"/>
          <w:szCs w:val="18"/>
          <w:lang w:val="sr-Cyrl-BA"/>
        </w:rPr>
        <w:t>Алкохолна пића и дуван</w:t>
      </w:r>
      <w:r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 w:rsidRPr="00150D48">
        <w:rPr>
          <w:rFonts w:ascii="Tahoma" w:eastAsia="Calibri" w:hAnsi="Tahoma" w:cs="Tahoma"/>
          <w:i/>
          <w:sz w:val="18"/>
          <w:szCs w:val="18"/>
          <w:lang w:val="sr-Cyrl-BA"/>
        </w:rPr>
        <w:t>Здравство</w:t>
      </w:r>
      <w:r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 w:rsidRPr="00150D48">
        <w:rPr>
          <w:rFonts w:ascii="Tahoma" w:eastAsia="Calibri" w:hAnsi="Tahoma" w:cs="Tahoma"/>
          <w:i/>
          <w:sz w:val="18"/>
          <w:szCs w:val="18"/>
          <w:lang w:val="sr-Cyrl-BA"/>
        </w:rPr>
        <w:t>Рекрација и култура и Остала добра и услуге .</w:t>
      </w:r>
    </w:p>
    <w:p w:rsidR="006257F4" w:rsidRPr="00150D48" w:rsidRDefault="006257F4" w:rsidP="006257F4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</w:p>
    <w:p w:rsidR="006257F4" w:rsidRPr="00150D48" w:rsidRDefault="006257F4" w:rsidP="006257F4">
      <w:pPr>
        <w:jc w:val="both"/>
        <w:rPr>
          <w:rFonts w:ascii="Tahoma" w:eastAsia="Calibri" w:hAnsi="Tahoma" w:cs="Tahoma"/>
          <w:i/>
          <w:sz w:val="18"/>
          <w:szCs w:val="18"/>
          <w:lang w:val="sr-Cyrl-BA"/>
        </w:rPr>
      </w:pPr>
      <w:r w:rsidRPr="00150D48">
        <w:rPr>
          <w:rFonts w:ascii="Tahoma" w:eastAsia="Calibri" w:hAnsi="Tahoma" w:cs="Tahoma"/>
          <w:sz w:val="18"/>
          <w:szCs w:val="18"/>
          <w:lang w:val="sr-Cyrl-BA"/>
        </w:rPr>
        <w:t xml:space="preserve">Највећи пад цијена забиљежен је у одјељку </w:t>
      </w:r>
      <w:r w:rsidRPr="00150D48">
        <w:rPr>
          <w:rFonts w:ascii="Tahoma" w:eastAsia="Calibri" w:hAnsi="Tahoma" w:cs="Tahoma"/>
          <w:i/>
          <w:sz w:val="18"/>
          <w:szCs w:val="18"/>
          <w:lang w:val="sr-Cyrl-BA"/>
        </w:rPr>
        <w:t xml:space="preserve">Остала добра и услуге </w:t>
      </w:r>
      <w:r w:rsidRPr="00150D48">
        <w:rPr>
          <w:rFonts w:ascii="Tahoma" w:eastAsia="Calibri" w:hAnsi="Tahoma" w:cs="Tahoma"/>
          <w:sz w:val="18"/>
          <w:szCs w:val="18"/>
          <w:lang w:val="sr-Cyrl-BA"/>
        </w:rPr>
        <w:t>0,3% због смањења цијена производа за одржавање личне хигијене (тоалетни сапун, шампон, уље и млијеко за чишћење, пјена за бријање, паста за зубе) за 1,3%.</w:t>
      </w:r>
    </w:p>
    <w:p w:rsidR="00F2773E" w:rsidRPr="00150D48" w:rsidRDefault="00F2773E" w:rsidP="0020048F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1561A7" w:rsidRPr="00150D48" w:rsidRDefault="001561A7" w:rsidP="0020048F">
      <w:pPr>
        <w:spacing w:after="200" w:line="276" w:lineRule="auto"/>
        <w:jc w:val="both"/>
        <w:rPr>
          <w:rFonts w:ascii="Tahoma" w:hAnsi="Tahoma" w:cs="Tahoma"/>
          <w:sz w:val="18"/>
          <w:szCs w:val="18"/>
          <w:lang w:val="sr-Cyrl-BA"/>
        </w:rPr>
      </w:pPr>
      <w:r w:rsidRPr="00150D48">
        <w:rPr>
          <w:rFonts w:ascii="Tahoma" w:hAnsi="Tahoma" w:cs="Tahoma"/>
          <w:sz w:val="18"/>
          <w:szCs w:val="18"/>
          <w:lang w:val="sr-Cyrl-BA"/>
        </w:rPr>
        <w:t>Цијене производа и услуга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, </w:t>
      </w:r>
      <w:r w:rsidRPr="00150D48">
        <w:rPr>
          <w:rFonts w:ascii="Tahoma" w:hAnsi="Tahoma" w:cs="Tahoma"/>
          <w:sz w:val="18"/>
          <w:szCs w:val="18"/>
          <w:lang w:val="sr-Cyrl-BA"/>
        </w:rPr>
        <w:t>који се користе за личну потрошњу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150D48">
        <w:rPr>
          <w:rFonts w:ascii="Tahoma" w:hAnsi="Tahoma" w:cs="Tahoma"/>
          <w:sz w:val="18"/>
          <w:szCs w:val="18"/>
          <w:lang w:val="sr-Cyrl-BA"/>
        </w:rPr>
        <w:t>у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150D48">
        <w:rPr>
          <w:rFonts w:ascii="Tahoma" w:hAnsi="Tahoma" w:cs="Tahoma"/>
          <w:sz w:val="18"/>
          <w:szCs w:val="18"/>
          <w:lang w:val="sr-Cyrl-BA"/>
        </w:rPr>
        <w:t>Републици Српској,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150D48">
        <w:rPr>
          <w:rFonts w:ascii="Tahoma" w:hAnsi="Tahoma" w:cs="Tahoma"/>
          <w:sz w:val="18"/>
          <w:szCs w:val="18"/>
          <w:lang w:val="sr-Cyrl-BA"/>
        </w:rPr>
        <w:t>у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>новембру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2011. </w:t>
      </w:r>
      <w:r w:rsidRPr="00150D48">
        <w:rPr>
          <w:rFonts w:ascii="Tahoma" w:hAnsi="Tahoma" w:cs="Tahoma"/>
          <w:sz w:val="18"/>
          <w:szCs w:val="18"/>
          <w:lang w:val="sr-Cyrl-BA"/>
        </w:rPr>
        <w:t>године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150D48">
        <w:rPr>
          <w:rFonts w:ascii="Tahoma" w:hAnsi="Tahoma" w:cs="Tahoma"/>
          <w:sz w:val="18"/>
          <w:szCs w:val="18"/>
          <w:lang w:val="sr-Cyrl-BA"/>
        </w:rPr>
        <w:t>у односу на исти мјесец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2010. </w:t>
      </w:r>
      <w:r w:rsidRPr="00150D48">
        <w:rPr>
          <w:rFonts w:ascii="Tahoma" w:hAnsi="Tahoma" w:cs="Tahoma"/>
          <w:sz w:val="18"/>
          <w:szCs w:val="18"/>
          <w:lang w:val="sr-Cyrl-BA"/>
        </w:rPr>
        <w:t>године,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150D48">
        <w:rPr>
          <w:rFonts w:ascii="Tahoma" w:hAnsi="Tahoma" w:cs="Tahoma"/>
          <w:sz w:val="18"/>
          <w:szCs w:val="18"/>
          <w:lang w:val="sr-Cyrl-BA"/>
        </w:rPr>
        <w:t>више су у просјеку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150D48">
        <w:rPr>
          <w:rFonts w:ascii="Tahoma" w:hAnsi="Tahoma" w:cs="Tahoma"/>
          <w:sz w:val="18"/>
          <w:szCs w:val="18"/>
          <w:lang w:val="sr-Cyrl-BA"/>
        </w:rPr>
        <w:t>за</w:t>
      </w:r>
      <w:r w:rsidR="00BB4227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623697" w:rsidRPr="00150D48">
        <w:rPr>
          <w:rFonts w:ascii="Tahoma" w:hAnsi="Tahoma" w:cs="Tahoma"/>
          <w:sz w:val="18"/>
          <w:szCs w:val="18"/>
          <w:lang w:val="sr-Cyrl-CS"/>
        </w:rPr>
        <w:t>4</w:t>
      </w:r>
      <w:r w:rsidRPr="00150D48">
        <w:rPr>
          <w:rFonts w:ascii="Tahoma" w:hAnsi="Tahoma" w:cs="Tahoma"/>
          <w:sz w:val="18"/>
          <w:szCs w:val="18"/>
          <w:lang w:val="sr-Cyrl-CS"/>
        </w:rPr>
        <w:t>,</w:t>
      </w:r>
      <w:r w:rsidR="006257F4" w:rsidRPr="00150D48">
        <w:rPr>
          <w:rFonts w:ascii="Tahoma" w:hAnsi="Tahoma" w:cs="Tahoma"/>
          <w:sz w:val="18"/>
          <w:szCs w:val="18"/>
          <w:lang w:val="sr-Cyrl-CS"/>
        </w:rPr>
        <w:t>1</w:t>
      </w:r>
      <w:r w:rsidRPr="00150D48">
        <w:rPr>
          <w:rFonts w:ascii="Tahoma" w:hAnsi="Tahoma" w:cs="Tahoma"/>
          <w:sz w:val="18"/>
          <w:szCs w:val="18"/>
          <w:lang w:val="sr-Cyrl-CS"/>
        </w:rPr>
        <w:t>%.</w:t>
      </w:r>
    </w:p>
    <w:p w:rsidR="004A08B4" w:rsidRPr="00150D48" w:rsidRDefault="001561A7" w:rsidP="0020048F">
      <w:pPr>
        <w:jc w:val="both"/>
        <w:rPr>
          <w:rFonts w:ascii="Tahoma" w:hAnsi="Tahoma" w:cs="Tahoma"/>
          <w:b/>
          <w:sz w:val="18"/>
          <w:szCs w:val="18"/>
          <w:lang w:val="ru-RU"/>
        </w:rPr>
      </w:pPr>
      <w:r w:rsidRPr="00150D48">
        <w:rPr>
          <w:rFonts w:ascii="Tahoma" w:hAnsi="Tahoma" w:cs="Tahoma"/>
          <w:sz w:val="18"/>
          <w:szCs w:val="18"/>
          <w:lang w:val="sr-Cyrl-BA"/>
        </w:rPr>
        <w:t xml:space="preserve">Посматрано по одјељцима намјене потрошње, у 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>новембру</w:t>
      </w:r>
      <w:r w:rsidRPr="00150D48">
        <w:rPr>
          <w:rFonts w:ascii="Tahoma" w:hAnsi="Tahoma" w:cs="Tahoma"/>
          <w:sz w:val="18"/>
          <w:szCs w:val="18"/>
          <w:lang w:val="sr-Cyrl-BA"/>
        </w:rPr>
        <w:t xml:space="preserve"> 2011. године у односу на 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>новембар</w:t>
      </w:r>
      <w:r w:rsidRPr="00150D48">
        <w:rPr>
          <w:rFonts w:ascii="Tahoma" w:hAnsi="Tahoma" w:cs="Tahoma"/>
          <w:sz w:val="18"/>
          <w:szCs w:val="18"/>
          <w:lang w:val="sr-Cyrl-BA"/>
        </w:rPr>
        <w:t xml:space="preserve"> 2010. године, највиши раст забиљежен је  код одјељка </w:t>
      </w:r>
      <w:r w:rsidRPr="00150D48">
        <w:rPr>
          <w:rFonts w:ascii="Tahoma" w:hAnsi="Tahoma" w:cs="Tahoma"/>
          <w:i/>
          <w:sz w:val="18"/>
          <w:szCs w:val="18"/>
          <w:lang w:val="sr-Cyrl-BA"/>
        </w:rPr>
        <w:t>Комуникације</w:t>
      </w:r>
      <w:r w:rsidRPr="00150D48">
        <w:rPr>
          <w:rFonts w:ascii="Tahoma" w:hAnsi="Tahoma" w:cs="Tahoma"/>
          <w:sz w:val="18"/>
          <w:szCs w:val="18"/>
          <w:lang w:val="sr-Cyrl-BA"/>
        </w:rPr>
        <w:t xml:space="preserve"> за 10,</w:t>
      </w:r>
      <w:r w:rsidR="00F95157" w:rsidRPr="00150D48">
        <w:rPr>
          <w:rFonts w:ascii="Tahoma" w:hAnsi="Tahoma" w:cs="Tahoma"/>
          <w:sz w:val="18"/>
          <w:szCs w:val="18"/>
          <w:lang w:val="sr-Cyrl-BA"/>
        </w:rPr>
        <w:t>1</w:t>
      </w:r>
      <w:r w:rsidRPr="00150D48">
        <w:rPr>
          <w:rFonts w:ascii="Tahoma" w:hAnsi="Tahoma" w:cs="Tahoma"/>
          <w:sz w:val="18"/>
          <w:szCs w:val="18"/>
          <w:lang w:val="sr-Cyrl-BA"/>
        </w:rPr>
        <w:t>%, затим слиједе индекси одјељака:</w:t>
      </w:r>
      <w:r w:rsidR="00C87955" w:rsidRPr="00150D48">
        <w:rPr>
          <w:rFonts w:ascii="Tahoma" w:hAnsi="Tahoma" w:cs="Tahoma"/>
          <w:i/>
          <w:sz w:val="18"/>
          <w:szCs w:val="18"/>
          <w:lang w:val="sr-Cyrl-BA"/>
        </w:rPr>
        <w:t xml:space="preserve"> Превоз</w:t>
      </w:r>
      <w:r w:rsidR="00C87955" w:rsidRPr="00150D48">
        <w:rPr>
          <w:rFonts w:ascii="Tahoma" w:hAnsi="Tahoma" w:cs="Tahoma"/>
          <w:sz w:val="18"/>
          <w:szCs w:val="18"/>
          <w:lang w:val="sr-Cyrl-BA"/>
        </w:rPr>
        <w:t xml:space="preserve"> за </w:t>
      </w:r>
      <w:r w:rsidR="00F95157" w:rsidRPr="00150D48">
        <w:rPr>
          <w:rFonts w:ascii="Tahoma" w:hAnsi="Tahoma" w:cs="Tahoma"/>
          <w:sz w:val="18"/>
          <w:szCs w:val="18"/>
          <w:lang w:val="sr-Cyrl-BA"/>
        </w:rPr>
        <w:t>9</w:t>
      </w:r>
      <w:r w:rsidR="00C87955" w:rsidRPr="00150D48">
        <w:rPr>
          <w:rFonts w:ascii="Tahoma" w:hAnsi="Tahoma" w:cs="Tahoma"/>
          <w:sz w:val="18"/>
          <w:szCs w:val="18"/>
          <w:lang w:val="sr-Cyrl-BA"/>
        </w:rPr>
        <w:t>,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>1</w:t>
      </w:r>
      <w:r w:rsidR="00C87955" w:rsidRPr="00150D48">
        <w:rPr>
          <w:rFonts w:ascii="Tahoma" w:hAnsi="Tahoma" w:cs="Tahoma"/>
          <w:sz w:val="18"/>
          <w:szCs w:val="18"/>
          <w:lang w:val="sr-Cyrl-BA"/>
        </w:rPr>
        <w:t>%,</w:t>
      </w:r>
      <w:r w:rsidRPr="00150D48">
        <w:rPr>
          <w:rFonts w:ascii="Tahoma" w:hAnsi="Tahoma" w:cs="Tahoma"/>
          <w:i/>
          <w:sz w:val="18"/>
          <w:szCs w:val="18"/>
          <w:lang w:val="sr-Cyrl-BA"/>
        </w:rPr>
        <w:t xml:space="preserve"> Алкохолна пића и дуван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 xml:space="preserve"> за 7</w:t>
      </w:r>
      <w:r w:rsidRPr="00150D48">
        <w:rPr>
          <w:rFonts w:ascii="Tahoma" w:hAnsi="Tahoma" w:cs="Tahoma"/>
          <w:sz w:val="18"/>
          <w:szCs w:val="18"/>
          <w:lang w:val="sr-Cyrl-BA"/>
        </w:rPr>
        <w:t>,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>8</w:t>
      </w:r>
      <w:r w:rsidRPr="00150D48">
        <w:rPr>
          <w:rFonts w:ascii="Tahoma" w:hAnsi="Tahoma" w:cs="Tahoma"/>
          <w:sz w:val="18"/>
          <w:szCs w:val="18"/>
          <w:lang w:val="sr-Cyrl-BA"/>
        </w:rPr>
        <w:t>%,</w:t>
      </w:r>
      <w:r w:rsidR="00BB4227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150D48">
        <w:rPr>
          <w:rFonts w:ascii="Tahoma" w:hAnsi="Tahoma" w:cs="Tahoma"/>
          <w:i/>
          <w:sz w:val="18"/>
          <w:szCs w:val="18"/>
          <w:lang w:val="sr-Cyrl-BA"/>
        </w:rPr>
        <w:t>Храна и безалкохолна пића</w:t>
      </w:r>
      <w:r w:rsidRPr="00150D48">
        <w:rPr>
          <w:rFonts w:ascii="Tahoma" w:hAnsi="Tahoma" w:cs="Tahoma"/>
          <w:sz w:val="18"/>
          <w:szCs w:val="18"/>
          <w:lang w:val="sr-Cyrl-BA"/>
        </w:rPr>
        <w:t xml:space="preserve"> за </w:t>
      </w:r>
      <w:r w:rsidR="00F95157" w:rsidRPr="00150D48">
        <w:rPr>
          <w:rFonts w:ascii="Tahoma" w:hAnsi="Tahoma" w:cs="Tahoma"/>
          <w:sz w:val="18"/>
          <w:szCs w:val="18"/>
          <w:lang w:val="sr-Cyrl-BA"/>
        </w:rPr>
        <w:t>5</w:t>
      </w:r>
      <w:r w:rsidRPr="00150D48">
        <w:rPr>
          <w:rFonts w:ascii="Tahoma" w:hAnsi="Tahoma" w:cs="Tahoma"/>
          <w:sz w:val="18"/>
          <w:szCs w:val="18"/>
          <w:lang w:val="sr-Cyrl-BA"/>
        </w:rPr>
        <w:t>,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>5</w:t>
      </w:r>
      <w:r w:rsidRPr="00150D48">
        <w:rPr>
          <w:rFonts w:ascii="Tahoma" w:hAnsi="Tahoma" w:cs="Tahoma"/>
          <w:sz w:val="18"/>
          <w:szCs w:val="18"/>
          <w:lang w:val="sr-Cyrl-BA"/>
        </w:rPr>
        <w:t xml:space="preserve">%, </w:t>
      </w:r>
      <w:r w:rsidRPr="00150D48">
        <w:rPr>
          <w:rFonts w:ascii="Tahoma" w:hAnsi="Tahoma" w:cs="Tahoma"/>
          <w:i/>
          <w:sz w:val="18"/>
          <w:szCs w:val="18"/>
          <w:lang w:val="sr-Cyrl-BA"/>
        </w:rPr>
        <w:t>Становање</w:t>
      </w:r>
      <w:r w:rsidR="00BB4227" w:rsidRPr="00150D48">
        <w:rPr>
          <w:rFonts w:ascii="Tahoma" w:hAnsi="Tahoma" w:cs="Tahoma"/>
          <w:sz w:val="18"/>
          <w:szCs w:val="18"/>
          <w:lang w:val="sr-Cyrl-BA"/>
        </w:rPr>
        <w:t xml:space="preserve"> за 3</w:t>
      </w:r>
      <w:r w:rsidRPr="00150D48">
        <w:rPr>
          <w:rFonts w:ascii="Tahoma" w:hAnsi="Tahoma" w:cs="Tahoma"/>
          <w:sz w:val="18"/>
          <w:szCs w:val="18"/>
          <w:lang w:val="sr-Cyrl-BA"/>
        </w:rPr>
        <w:t>,</w:t>
      </w:r>
      <w:r w:rsidR="00623697" w:rsidRPr="00150D48">
        <w:rPr>
          <w:rFonts w:ascii="Tahoma" w:hAnsi="Tahoma" w:cs="Tahoma"/>
          <w:sz w:val="18"/>
          <w:szCs w:val="18"/>
          <w:lang w:val="sr-Cyrl-BA"/>
        </w:rPr>
        <w:t>0</w:t>
      </w:r>
      <w:r w:rsidRPr="00150D48">
        <w:rPr>
          <w:rFonts w:ascii="Tahoma" w:hAnsi="Tahoma" w:cs="Tahoma"/>
          <w:sz w:val="18"/>
          <w:szCs w:val="18"/>
          <w:lang w:val="sr-Cyrl-BA"/>
        </w:rPr>
        <w:t>%,</w:t>
      </w:r>
      <w:r w:rsidR="00C87955" w:rsidRPr="00150D48">
        <w:rPr>
          <w:rFonts w:ascii="Tahoma" w:hAnsi="Tahoma" w:cs="Tahoma"/>
          <w:i/>
          <w:sz w:val="18"/>
          <w:szCs w:val="18"/>
          <w:lang w:val="sr-Cyrl-BA"/>
        </w:rPr>
        <w:t xml:space="preserve"> Намјештај и покућство за </w:t>
      </w:r>
      <w:r w:rsidR="00F95157" w:rsidRPr="00150D48">
        <w:rPr>
          <w:rFonts w:ascii="Tahoma" w:hAnsi="Tahoma" w:cs="Tahoma"/>
          <w:i/>
          <w:sz w:val="18"/>
          <w:szCs w:val="18"/>
          <w:lang w:val="sr-Cyrl-BA"/>
        </w:rPr>
        <w:t>2</w:t>
      </w:r>
      <w:r w:rsidR="00C87955" w:rsidRPr="00150D48">
        <w:rPr>
          <w:rFonts w:ascii="Tahoma" w:hAnsi="Tahoma" w:cs="Tahoma"/>
          <w:i/>
          <w:sz w:val="18"/>
          <w:szCs w:val="18"/>
          <w:lang w:val="sr-Cyrl-BA"/>
        </w:rPr>
        <w:t>,</w:t>
      </w:r>
      <w:r w:rsidR="006257F4" w:rsidRPr="00150D48">
        <w:rPr>
          <w:rFonts w:ascii="Tahoma" w:hAnsi="Tahoma" w:cs="Tahoma"/>
          <w:i/>
          <w:sz w:val="18"/>
          <w:szCs w:val="18"/>
          <w:lang w:val="sr-Cyrl-BA"/>
        </w:rPr>
        <w:t>5</w:t>
      </w:r>
      <w:r w:rsidR="00C87955" w:rsidRPr="00150D48">
        <w:rPr>
          <w:rFonts w:ascii="Tahoma" w:hAnsi="Tahoma" w:cs="Tahoma"/>
          <w:i/>
          <w:sz w:val="18"/>
          <w:szCs w:val="18"/>
          <w:lang w:val="sr-Cyrl-BA"/>
        </w:rPr>
        <w:t>%</w:t>
      </w:r>
      <w:r w:rsidR="00C87955" w:rsidRPr="00150D48">
        <w:rPr>
          <w:rFonts w:ascii="Tahoma" w:hAnsi="Tahoma" w:cs="Tahoma"/>
          <w:sz w:val="18"/>
          <w:szCs w:val="18"/>
          <w:lang w:val="sr-Cyrl-BA"/>
        </w:rPr>
        <w:t>,</w:t>
      </w:r>
      <w:r w:rsidR="00F95157" w:rsidRPr="00150D48">
        <w:rPr>
          <w:rFonts w:ascii="Tahoma" w:hAnsi="Tahoma" w:cs="Tahoma"/>
          <w:i/>
          <w:sz w:val="18"/>
          <w:szCs w:val="18"/>
          <w:lang w:val="sr-Cyrl-BA"/>
        </w:rPr>
        <w:t xml:space="preserve"> Ресторани и хотели</w:t>
      </w:r>
      <w:r w:rsidR="00F95157" w:rsidRPr="00150D48">
        <w:rPr>
          <w:rFonts w:ascii="Tahoma" w:hAnsi="Tahoma" w:cs="Tahoma"/>
          <w:sz w:val="18"/>
          <w:szCs w:val="18"/>
          <w:lang w:val="sr-Cyrl-BA"/>
        </w:rPr>
        <w:t xml:space="preserve"> за </w:t>
      </w:r>
      <w:r w:rsidR="00623697" w:rsidRPr="00150D48">
        <w:rPr>
          <w:rFonts w:ascii="Tahoma" w:hAnsi="Tahoma" w:cs="Tahoma"/>
          <w:sz w:val="18"/>
          <w:szCs w:val="18"/>
          <w:lang w:val="sr-Cyrl-BA"/>
        </w:rPr>
        <w:t>0</w:t>
      </w:r>
      <w:r w:rsidR="00F95157" w:rsidRPr="00150D48">
        <w:rPr>
          <w:rFonts w:ascii="Tahoma" w:hAnsi="Tahoma" w:cs="Tahoma"/>
          <w:sz w:val="18"/>
          <w:szCs w:val="18"/>
          <w:lang w:val="sr-Cyrl-BA"/>
        </w:rPr>
        <w:t>,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>6</w:t>
      </w:r>
      <w:r w:rsidR="00F95157" w:rsidRPr="00150D48">
        <w:rPr>
          <w:rFonts w:ascii="Tahoma" w:hAnsi="Tahoma" w:cs="Tahoma"/>
          <w:sz w:val="18"/>
          <w:szCs w:val="18"/>
          <w:lang w:val="sr-Cyrl-BA"/>
        </w:rPr>
        <w:t>%,</w:t>
      </w:r>
      <w:r w:rsidR="00C87955" w:rsidRPr="00150D48">
        <w:rPr>
          <w:rFonts w:ascii="Tahoma" w:hAnsi="Tahoma" w:cs="Tahoma"/>
          <w:i/>
          <w:sz w:val="18"/>
          <w:szCs w:val="18"/>
          <w:lang w:val="sr-Cyrl-BA"/>
        </w:rPr>
        <w:t xml:space="preserve"> Рекрација и култура</w:t>
      </w:r>
      <w:r w:rsidR="00C87955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F95157" w:rsidRPr="00150D48">
        <w:rPr>
          <w:rFonts w:ascii="Tahoma" w:hAnsi="Tahoma" w:cs="Tahoma"/>
          <w:sz w:val="18"/>
          <w:szCs w:val="18"/>
          <w:lang w:val="sr-Cyrl-BA"/>
        </w:rPr>
        <w:t>0</w:t>
      </w:r>
      <w:r w:rsidR="00C87955" w:rsidRPr="00150D48">
        <w:rPr>
          <w:rFonts w:ascii="Tahoma" w:hAnsi="Tahoma" w:cs="Tahoma"/>
          <w:sz w:val="18"/>
          <w:szCs w:val="18"/>
          <w:lang w:val="sr-Cyrl-BA"/>
        </w:rPr>
        <w:t>,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>2</w:t>
      </w:r>
      <w:r w:rsidR="00F95157" w:rsidRPr="00150D48">
        <w:rPr>
          <w:rFonts w:ascii="Tahoma" w:hAnsi="Tahoma" w:cs="Tahoma"/>
          <w:sz w:val="18"/>
          <w:szCs w:val="18"/>
          <w:lang w:val="sr-Cyrl-BA"/>
        </w:rPr>
        <w:t>%,</w:t>
      </w:r>
      <w:r w:rsidR="00566311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566311" w:rsidRPr="00150D48">
        <w:rPr>
          <w:rFonts w:ascii="Tahoma" w:hAnsi="Tahoma" w:cs="Tahoma"/>
          <w:i/>
          <w:sz w:val="18"/>
          <w:szCs w:val="18"/>
          <w:lang w:val="sr-Cyrl-BA"/>
        </w:rPr>
        <w:t>Образовање</w:t>
      </w:r>
      <w:r w:rsidR="007D2F9C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7D2F9C" w:rsidRPr="00150D48">
        <w:rPr>
          <w:rFonts w:ascii="Tahoma" w:hAnsi="Tahoma" w:cs="Tahoma"/>
          <w:sz w:val="18"/>
          <w:szCs w:val="18"/>
          <w:lang w:val="sr-Cyrl-BA"/>
        </w:rPr>
        <w:t>0,</w:t>
      </w:r>
      <w:r w:rsidR="00F95157" w:rsidRPr="00150D48">
        <w:rPr>
          <w:rFonts w:ascii="Tahoma" w:hAnsi="Tahoma" w:cs="Tahoma"/>
          <w:sz w:val="18"/>
          <w:szCs w:val="18"/>
          <w:lang w:val="sr-Cyrl-BA"/>
        </w:rPr>
        <w:t>1</w:t>
      </w:r>
      <w:r w:rsidR="007D2F9C" w:rsidRPr="00150D48">
        <w:rPr>
          <w:rFonts w:ascii="Tahoma" w:hAnsi="Tahoma" w:cs="Tahoma"/>
          <w:sz w:val="18"/>
          <w:szCs w:val="18"/>
          <w:lang w:val="sr-Cyrl-BA"/>
        </w:rPr>
        <w:t>%</w:t>
      </w:r>
      <w:r w:rsidR="00F95157" w:rsidRPr="00150D48">
        <w:rPr>
          <w:rFonts w:ascii="Tahoma" w:hAnsi="Tahoma" w:cs="Tahoma"/>
          <w:sz w:val="18"/>
          <w:szCs w:val="18"/>
          <w:lang w:val="sr-Cyrl-BA"/>
        </w:rPr>
        <w:t>.</w:t>
      </w:r>
      <w:r w:rsidR="00F95157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B16A16" w:rsidRPr="00150D48">
        <w:rPr>
          <w:rFonts w:ascii="Tahoma" w:hAnsi="Tahoma" w:cs="Tahoma"/>
          <w:sz w:val="18"/>
          <w:szCs w:val="18"/>
          <w:lang w:val="sr-Cyrl-BA"/>
        </w:rPr>
        <w:t>Индекс</w:t>
      </w:r>
      <w:r w:rsidR="00F95157" w:rsidRPr="00150D48">
        <w:rPr>
          <w:rFonts w:ascii="Tahoma" w:hAnsi="Tahoma" w:cs="Tahoma"/>
          <w:sz w:val="18"/>
          <w:szCs w:val="18"/>
          <w:lang w:val="sr-Cyrl-BA"/>
        </w:rPr>
        <w:t xml:space="preserve"> одјељка</w:t>
      </w:r>
      <w:r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566311" w:rsidRPr="00150D48">
        <w:rPr>
          <w:rFonts w:ascii="Tahoma" w:hAnsi="Tahoma" w:cs="Tahoma"/>
          <w:i/>
          <w:sz w:val="18"/>
          <w:szCs w:val="18"/>
          <w:lang w:val="sr-Cyrl-BA"/>
        </w:rPr>
        <w:t xml:space="preserve">Остала добра </w:t>
      </w:r>
      <w:r w:rsidR="00566311" w:rsidRPr="00150D48">
        <w:rPr>
          <w:rFonts w:ascii="Tahoma" w:hAnsi="Tahoma" w:cs="Tahoma"/>
          <w:sz w:val="18"/>
          <w:szCs w:val="18"/>
          <w:lang w:val="sr-Cyrl-BA"/>
        </w:rPr>
        <w:t>и</w:t>
      </w:r>
      <w:r w:rsidR="00566311" w:rsidRPr="00150D48">
        <w:rPr>
          <w:rFonts w:ascii="Tahoma" w:hAnsi="Tahoma" w:cs="Tahoma"/>
          <w:i/>
          <w:sz w:val="18"/>
          <w:szCs w:val="18"/>
          <w:lang w:val="sr-Cyrl-BA"/>
        </w:rPr>
        <w:t xml:space="preserve"> услуге</w:t>
      </w:r>
      <w:r w:rsidR="00566311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150D48">
        <w:rPr>
          <w:rFonts w:ascii="Tahoma" w:hAnsi="Tahoma" w:cs="Tahoma"/>
          <w:sz w:val="18"/>
          <w:szCs w:val="18"/>
          <w:lang w:val="sr-Cyrl-BA"/>
        </w:rPr>
        <w:t>нижи</w:t>
      </w:r>
      <w:r w:rsidR="007D2F9C" w:rsidRPr="00150D48">
        <w:rPr>
          <w:rFonts w:ascii="Tahoma" w:hAnsi="Tahoma" w:cs="Tahoma"/>
          <w:sz w:val="18"/>
          <w:szCs w:val="18"/>
          <w:lang w:val="sr-Cyrl-BA"/>
        </w:rPr>
        <w:t xml:space="preserve"> је</w:t>
      </w:r>
      <w:r w:rsidRPr="00150D48">
        <w:rPr>
          <w:rFonts w:ascii="Tahoma" w:hAnsi="Tahoma" w:cs="Tahoma"/>
          <w:sz w:val="18"/>
          <w:szCs w:val="18"/>
          <w:lang w:val="sr-Cyrl-BA"/>
        </w:rPr>
        <w:t xml:space="preserve"> за </w:t>
      </w:r>
      <w:r w:rsidR="00BB4227" w:rsidRPr="00150D48">
        <w:rPr>
          <w:rFonts w:ascii="Tahoma" w:hAnsi="Tahoma" w:cs="Tahoma"/>
          <w:sz w:val="18"/>
          <w:szCs w:val="18"/>
          <w:lang w:val="sr-Cyrl-BA"/>
        </w:rPr>
        <w:t>0</w:t>
      </w:r>
      <w:r w:rsidRPr="00150D48">
        <w:rPr>
          <w:rFonts w:ascii="Tahoma" w:hAnsi="Tahoma" w:cs="Tahoma"/>
          <w:sz w:val="18"/>
          <w:szCs w:val="18"/>
          <w:lang w:val="sr-Cyrl-BA"/>
        </w:rPr>
        <w:t>,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>4</w:t>
      </w:r>
      <w:r w:rsidRPr="00150D48">
        <w:rPr>
          <w:rFonts w:ascii="Tahoma" w:hAnsi="Tahoma" w:cs="Tahoma"/>
          <w:sz w:val="18"/>
          <w:szCs w:val="18"/>
          <w:lang w:val="sr-Cyrl-BA"/>
        </w:rPr>
        <w:t>%,</w:t>
      </w:r>
      <w:r w:rsidR="00B16A16" w:rsidRPr="00150D48">
        <w:rPr>
          <w:rFonts w:ascii="Tahoma" w:hAnsi="Tahoma" w:cs="Tahoma"/>
          <w:sz w:val="18"/>
          <w:szCs w:val="18"/>
          <w:lang w:val="sr-Cyrl-BA"/>
        </w:rPr>
        <w:t xml:space="preserve"> и</w:t>
      </w:r>
      <w:r w:rsidR="00566311" w:rsidRPr="00150D48">
        <w:rPr>
          <w:rFonts w:ascii="Tahoma" w:hAnsi="Tahoma" w:cs="Tahoma"/>
          <w:sz w:val="18"/>
          <w:szCs w:val="18"/>
          <w:lang w:val="sr-Cyrl-BA"/>
        </w:rPr>
        <w:t xml:space="preserve">ндекс одјељка </w:t>
      </w:r>
      <w:r w:rsidR="00566311" w:rsidRPr="00150D48">
        <w:rPr>
          <w:rFonts w:ascii="Tahoma" w:hAnsi="Tahoma" w:cs="Tahoma"/>
          <w:i/>
          <w:sz w:val="18"/>
          <w:szCs w:val="18"/>
          <w:lang w:val="sr-Cyrl-BA"/>
        </w:rPr>
        <w:t>Здравство</w:t>
      </w:r>
      <w:r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150D48">
        <w:rPr>
          <w:rFonts w:ascii="Tahoma" w:hAnsi="Tahoma" w:cs="Tahoma"/>
          <w:sz w:val="18"/>
          <w:szCs w:val="18"/>
          <w:lang w:val="sr-Cyrl-BA"/>
        </w:rPr>
        <w:t xml:space="preserve">нижи је за </w:t>
      </w:r>
      <w:r w:rsidR="007D2F9C" w:rsidRPr="00150D48">
        <w:rPr>
          <w:rFonts w:ascii="Tahoma" w:hAnsi="Tahoma" w:cs="Tahoma"/>
          <w:sz w:val="18"/>
          <w:szCs w:val="18"/>
          <w:lang w:val="sr-Cyrl-BA"/>
        </w:rPr>
        <w:t>1</w:t>
      </w:r>
      <w:r w:rsidRPr="00150D48">
        <w:rPr>
          <w:rFonts w:ascii="Tahoma" w:hAnsi="Tahoma" w:cs="Tahoma"/>
          <w:sz w:val="18"/>
          <w:szCs w:val="18"/>
          <w:lang w:val="sr-Cyrl-BA"/>
        </w:rPr>
        <w:t>,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>5</w:t>
      </w:r>
      <w:r w:rsidR="00566311" w:rsidRPr="00150D48">
        <w:rPr>
          <w:rFonts w:ascii="Tahoma" w:hAnsi="Tahoma" w:cs="Tahoma"/>
          <w:sz w:val="18"/>
          <w:szCs w:val="18"/>
          <w:lang w:val="sr-Cyrl-BA"/>
        </w:rPr>
        <w:t>%,</w:t>
      </w:r>
      <w:r w:rsidR="00566311" w:rsidRPr="00150D4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150D48">
        <w:rPr>
          <w:rFonts w:ascii="Tahoma" w:hAnsi="Tahoma" w:cs="Tahoma"/>
          <w:sz w:val="18"/>
          <w:szCs w:val="18"/>
          <w:lang w:val="sr-Cyrl-BA"/>
        </w:rPr>
        <w:t xml:space="preserve">док је индекс одјељка </w:t>
      </w:r>
      <w:r w:rsidRPr="00150D48">
        <w:rPr>
          <w:rFonts w:ascii="Tahoma" w:hAnsi="Tahoma" w:cs="Tahoma"/>
          <w:i/>
          <w:sz w:val="18"/>
          <w:szCs w:val="18"/>
          <w:lang w:val="sr-Cyrl-BA"/>
        </w:rPr>
        <w:t>Одјећа и обућа</w:t>
      </w:r>
      <w:r w:rsidR="00BB4227" w:rsidRPr="00150D48">
        <w:rPr>
          <w:rFonts w:ascii="Tahoma" w:hAnsi="Tahoma" w:cs="Tahoma"/>
          <w:sz w:val="18"/>
          <w:szCs w:val="18"/>
          <w:lang w:val="sr-Cyrl-BA"/>
        </w:rPr>
        <w:t xml:space="preserve"> нижи за </w:t>
      </w:r>
      <w:r w:rsidR="00F95157" w:rsidRPr="00150D48">
        <w:rPr>
          <w:rFonts w:ascii="Tahoma" w:hAnsi="Tahoma" w:cs="Tahoma"/>
          <w:sz w:val="18"/>
          <w:szCs w:val="18"/>
          <w:lang w:val="sr-Cyrl-BA"/>
        </w:rPr>
        <w:t>4</w:t>
      </w:r>
      <w:r w:rsidRPr="00150D48">
        <w:rPr>
          <w:rFonts w:ascii="Tahoma" w:hAnsi="Tahoma" w:cs="Tahoma"/>
          <w:sz w:val="18"/>
          <w:szCs w:val="18"/>
          <w:lang w:val="sr-Cyrl-BA"/>
        </w:rPr>
        <w:t>,</w:t>
      </w:r>
      <w:r w:rsidR="006257F4" w:rsidRPr="00150D48">
        <w:rPr>
          <w:rFonts w:ascii="Tahoma" w:hAnsi="Tahoma" w:cs="Tahoma"/>
          <w:sz w:val="18"/>
          <w:szCs w:val="18"/>
          <w:lang w:val="sr-Cyrl-BA"/>
        </w:rPr>
        <w:t>4</w:t>
      </w:r>
      <w:r w:rsidRPr="00150D48">
        <w:rPr>
          <w:rFonts w:ascii="Tahoma" w:hAnsi="Tahoma" w:cs="Tahoma"/>
          <w:sz w:val="18"/>
          <w:szCs w:val="18"/>
          <w:lang w:val="sr-Cyrl-BA"/>
        </w:rPr>
        <w:t xml:space="preserve">%. </w:t>
      </w:r>
    </w:p>
    <w:p w:rsidR="004A08B4" w:rsidRPr="00150D48" w:rsidRDefault="004A08B4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5E0301" w:rsidRPr="00150D48" w:rsidRDefault="005E0301" w:rsidP="0020048F">
      <w:pPr>
        <w:jc w:val="both"/>
        <w:rPr>
          <w:rFonts w:ascii="Tahoma" w:hAnsi="Tahoma" w:cs="Tahoma"/>
          <w:b/>
          <w:sz w:val="28"/>
          <w:szCs w:val="28"/>
          <w:lang w:val="sr-Cyrl-CS"/>
        </w:rPr>
      </w:pPr>
      <w:r w:rsidRPr="00150D48">
        <w:rPr>
          <w:rFonts w:ascii="Tahoma" w:hAnsi="Tahoma" w:cs="Tahoma"/>
          <w:b/>
          <w:sz w:val="28"/>
          <w:szCs w:val="28"/>
          <w:lang w:val="sr-Cyrl-CS"/>
        </w:rPr>
        <w:t xml:space="preserve">Цијене произвођача индустријских производа </w:t>
      </w:r>
      <w:r w:rsidR="00153234" w:rsidRPr="00150D48">
        <w:rPr>
          <w:rFonts w:ascii="Tahoma" w:hAnsi="Tahoma" w:cs="Tahoma"/>
          <w:b/>
          <w:sz w:val="28"/>
          <w:szCs w:val="28"/>
          <w:lang w:val="sr-Cyrl-CS"/>
        </w:rPr>
        <w:t>(</w:t>
      </w:r>
      <w:r w:rsidR="00B648A4" w:rsidRPr="00150D48">
        <w:rPr>
          <w:rFonts w:ascii="Tahoma" w:hAnsi="Tahoma" w:cs="Tahoma"/>
          <w:b/>
          <w:sz w:val="28"/>
          <w:szCs w:val="28"/>
        </w:rPr>
        <w:t>X</w:t>
      </w:r>
      <w:r w:rsidR="00C343A9" w:rsidRPr="00150D48">
        <w:rPr>
          <w:rFonts w:ascii="Tahoma" w:hAnsi="Tahoma" w:cs="Tahoma"/>
          <w:b/>
          <w:sz w:val="28"/>
          <w:szCs w:val="28"/>
        </w:rPr>
        <w:t>I</w:t>
      </w:r>
      <w:r w:rsidR="00BE5202" w:rsidRPr="00150D48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B6250B" w:rsidRPr="00150D48">
        <w:rPr>
          <w:rFonts w:ascii="Tahoma" w:hAnsi="Tahoma" w:cs="Tahoma"/>
          <w:b/>
          <w:sz w:val="28"/>
          <w:szCs w:val="28"/>
          <w:lang w:val="sr-Cyrl-CS"/>
        </w:rPr>
        <w:t>201</w:t>
      </w:r>
      <w:r w:rsidR="00B6250B" w:rsidRPr="00150D48">
        <w:rPr>
          <w:rFonts w:ascii="Tahoma" w:hAnsi="Tahoma" w:cs="Tahoma"/>
          <w:b/>
          <w:sz w:val="28"/>
          <w:szCs w:val="28"/>
          <w:lang w:val="sr-Latn-CS"/>
        </w:rPr>
        <w:t>1</w:t>
      </w:r>
      <w:r w:rsidR="0009483B" w:rsidRPr="00150D48">
        <w:rPr>
          <w:rFonts w:ascii="Tahoma" w:hAnsi="Tahoma" w:cs="Tahoma"/>
          <w:b/>
          <w:sz w:val="28"/>
          <w:szCs w:val="28"/>
          <w:lang w:val="sr-Cyrl-CS"/>
        </w:rPr>
        <w:t>/</w:t>
      </w:r>
      <w:r w:rsidR="007A6DAD" w:rsidRPr="00150D48">
        <w:rPr>
          <w:rFonts w:ascii="Tahoma" w:hAnsi="Tahoma" w:cs="Tahoma"/>
          <w:b/>
          <w:sz w:val="28"/>
          <w:szCs w:val="28"/>
          <w:lang w:val="sr-Latn-CS"/>
        </w:rPr>
        <w:t>X</w:t>
      </w:r>
      <w:r w:rsidR="0009483B" w:rsidRPr="00150D48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="0009483B" w:rsidRPr="00150D48">
        <w:rPr>
          <w:rFonts w:ascii="Tahoma" w:hAnsi="Tahoma" w:cs="Tahoma"/>
          <w:b/>
          <w:sz w:val="28"/>
          <w:szCs w:val="28"/>
          <w:lang w:val="sr-Latn-CS"/>
        </w:rPr>
        <w:t>1</w:t>
      </w:r>
      <w:r w:rsidR="00E32A08" w:rsidRPr="00150D48">
        <w:rPr>
          <w:rFonts w:ascii="Tahoma" w:hAnsi="Tahoma" w:cs="Tahoma"/>
          <w:b/>
          <w:sz w:val="28"/>
          <w:szCs w:val="28"/>
          <w:lang w:val="sr-Latn-CS"/>
        </w:rPr>
        <w:t>.</w:t>
      </w:r>
      <w:r w:rsidR="00153234" w:rsidRPr="00150D48">
        <w:rPr>
          <w:rFonts w:ascii="Tahoma" w:hAnsi="Tahoma" w:cs="Tahoma"/>
          <w:b/>
          <w:sz w:val="28"/>
          <w:szCs w:val="28"/>
          <w:lang w:val="sr-Cyrl-CS"/>
        </w:rPr>
        <w:t>)</w:t>
      </w:r>
      <w:r w:rsidR="00690920" w:rsidRPr="00150D48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8B18BE" w:rsidRPr="00150D48">
        <w:rPr>
          <w:rFonts w:ascii="Tahoma" w:hAnsi="Tahoma" w:cs="Tahoma"/>
          <w:b/>
          <w:sz w:val="28"/>
          <w:szCs w:val="28"/>
          <w:lang w:val="sr-Cyrl-CS"/>
        </w:rPr>
        <w:t xml:space="preserve">      </w:t>
      </w:r>
      <w:r w:rsidR="00690920" w:rsidRPr="00150D48">
        <w:rPr>
          <w:rFonts w:ascii="Tahoma" w:hAnsi="Tahoma" w:cs="Tahoma"/>
          <w:b/>
          <w:sz w:val="28"/>
          <w:szCs w:val="28"/>
          <w:lang w:val="sr-Cyrl-CS"/>
        </w:rPr>
        <w:t xml:space="preserve">у просјеку </w:t>
      </w:r>
      <w:r w:rsidR="00C343A9" w:rsidRPr="00150D48">
        <w:rPr>
          <w:rFonts w:ascii="Tahoma" w:hAnsi="Tahoma" w:cs="Tahoma"/>
          <w:b/>
          <w:sz w:val="28"/>
          <w:szCs w:val="28"/>
          <w:lang w:val="sr-Cyrl-CS"/>
        </w:rPr>
        <w:t>ниже</w:t>
      </w:r>
      <w:r w:rsidR="00FF2941" w:rsidRPr="00150D48">
        <w:rPr>
          <w:rFonts w:ascii="Tahoma" w:hAnsi="Tahoma" w:cs="Tahoma"/>
          <w:b/>
          <w:sz w:val="28"/>
          <w:szCs w:val="28"/>
          <w:lang w:val="sr-Cyrl-CS"/>
        </w:rPr>
        <w:t xml:space="preserve"> 0,</w:t>
      </w:r>
      <w:r w:rsidR="00B648A4" w:rsidRPr="00150D48">
        <w:rPr>
          <w:rFonts w:ascii="Tahoma" w:hAnsi="Tahoma" w:cs="Tahoma"/>
          <w:b/>
          <w:sz w:val="28"/>
          <w:szCs w:val="28"/>
          <w:lang w:val="sr-Cyrl-CS"/>
        </w:rPr>
        <w:t>1</w:t>
      </w:r>
      <w:r w:rsidR="001B32B9" w:rsidRPr="00150D48">
        <w:rPr>
          <w:rFonts w:ascii="Tahoma" w:hAnsi="Tahoma" w:cs="Tahoma"/>
          <w:b/>
          <w:sz w:val="28"/>
          <w:szCs w:val="28"/>
          <w:lang w:val="sr-Cyrl-CS"/>
        </w:rPr>
        <w:t>%</w:t>
      </w:r>
    </w:p>
    <w:p w:rsidR="001B32B9" w:rsidRPr="00150D48" w:rsidRDefault="001B32B9" w:rsidP="0020048F">
      <w:pPr>
        <w:jc w:val="both"/>
        <w:rPr>
          <w:rFonts w:ascii="Tahoma" w:hAnsi="Tahoma" w:cs="Tahoma"/>
          <w:lang w:val="sr-Cyrl-CS"/>
        </w:rPr>
      </w:pPr>
    </w:p>
    <w:p w:rsidR="00C343A9" w:rsidRPr="00150D48" w:rsidRDefault="00C343A9" w:rsidP="00C343A9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150D48">
        <w:rPr>
          <w:rFonts w:ascii="Tahoma" w:hAnsi="Tahoma" w:cs="Tahoma"/>
          <w:sz w:val="18"/>
          <w:szCs w:val="18"/>
          <w:lang w:val="sr-Cyrl-CS"/>
        </w:rPr>
        <w:t>Цијен</w:t>
      </w:r>
      <w:r w:rsidRPr="00150D48">
        <w:rPr>
          <w:rFonts w:ascii="Tahoma" w:hAnsi="Tahoma" w:cs="Tahoma"/>
          <w:sz w:val="18"/>
          <w:szCs w:val="18"/>
        </w:rPr>
        <w:t>e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произвођач</w:t>
      </w:r>
      <w:r w:rsidRPr="00150D48">
        <w:rPr>
          <w:rFonts w:ascii="Tahoma" w:hAnsi="Tahoma" w:cs="Tahoma"/>
          <w:sz w:val="18"/>
          <w:szCs w:val="18"/>
        </w:rPr>
        <w:t xml:space="preserve">a </w:t>
      </w:r>
      <w:r w:rsidRPr="00150D48">
        <w:rPr>
          <w:rFonts w:ascii="Tahoma" w:hAnsi="Tahoma" w:cs="Tahoma"/>
          <w:sz w:val="18"/>
          <w:szCs w:val="18"/>
          <w:lang w:val="sr-Cyrl-CS"/>
        </w:rPr>
        <w:t>индустријских производа</w:t>
      </w:r>
      <w:r w:rsidRPr="00150D48">
        <w:rPr>
          <w:rFonts w:ascii="Tahoma" w:hAnsi="Tahoma" w:cs="Tahoma"/>
          <w:sz w:val="18"/>
          <w:szCs w:val="18"/>
          <w:lang w:val="hr-HR"/>
        </w:rPr>
        <w:t xml:space="preserve"> у 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новембру </w:t>
      </w:r>
      <w:r w:rsidRPr="00150D48">
        <w:rPr>
          <w:rFonts w:ascii="Tahoma" w:hAnsi="Tahoma" w:cs="Tahoma"/>
          <w:sz w:val="18"/>
          <w:szCs w:val="18"/>
          <w:lang w:val="hr-HR"/>
        </w:rPr>
        <w:t>20</w:t>
      </w:r>
      <w:r w:rsidRPr="00150D48">
        <w:rPr>
          <w:rFonts w:ascii="Tahoma" w:hAnsi="Tahoma" w:cs="Tahoma"/>
          <w:sz w:val="18"/>
          <w:szCs w:val="18"/>
          <w:lang w:val="sr-Cyrl-CS"/>
        </w:rPr>
        <w:t>11</w:t>
      </w:r>
      <w:r w:rsidRPr="00150D48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150D48">
        <w:rPr>
          <w:rFonts w:ascii="Tahoma" w:hAnsi="Tahoma" w:cs="Tahoma"/>
          <w:sz w:val="18"/>
          <w:szCs w:val="18"/>
          <w:lang w:val="hr-HR"/>
        </w:rPr>
        <w:t>у односу на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октобар</w:t>
      </w:r>
      <w:r w:rsidRPr="00150D48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150D48">
        <w:rPr>
          <w:rFonts w:ascii="Tahoma" w:hAnsi="Tahoma" w:cs="Tahoma"/>
          <w:sz w:val="18"/>
          <w:szCs w:val="18"/>
          <w:lang w:val="hr-HR"/>
        </w:rPr>
        <w:t>201</w:t>
      </w:r>
      <w:r w:rsidRPr="00150D48">
        <w:rPr>
          <w:rFonts w:ascii="Tahoma" w:hAnsi="Tahoma" w:cs="Tahoma"/>
          <w:sz w:val="18"/>
          <w:szCs w:val="18"/>
          <w:lang w:val="sr-Cyrl-CS"/>
        </w:rPr>
        <w:t>1</w:t>
      </w:r>
      <w:r w:rsidRPr="00150D48">
        <w:rPr>
          <w:rFonts w:ascii="Tahoma" w:hAnsi="Tahoma" w:cs="Tahoma"/>
          <w:sz w:val="18"/>
          <w:szCs w:val="18"/>
          <w:lang w:val="hr-HR"/>
        </w:rPr>
        <w:t>.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године у просјеку су ниже за 0,1%</w:t>
      </w:r>
      <w:r w:rsidRPr="00150D48">
        <w:rPr>
          <w:rFonts w:ascii="Tahoma" w:hAnsi="Tahoma" w:cs="Tahoma"/>
          <w:sz w:val="18"/>
          <w:szCs w:val="18"/>
          <w:lang w:val="sr-Latn-CS"/>
        </w:rPr>
        <w:t>,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а у односу новембар 2010. године у просјеку су више за </w:t>
      </w:r>
      <w:r w:rsidRPr="00150D48">
        <w:rPr>
          <w:rFonts w:ascii="Tahoma" w:hAnsi="Tahoma" w:cs="Tahoma"/>
          <w:sz w:val="18"/>
          <w:szCs w:val="18"/>
          <w:lang w:val="sr-Latn-CS"/>
        </w:rPr>
        <w:t>3,8</w:t>
      </w:r>
      <w:r w:rsidRPr="00150D48">
        <w:rPr>
          <w:rFonts w:ascii="Tahoma" w:hAnsi="Tahoma" w:cs="Tahoma"/>
          <w:sz w:val="18"/>
          <w:szCs w:val="18"/>
          <w:lang w:val="sr-Cyrl-CS"/>
        </w:rPr>
        <w:t>%.</w:t>
      </w:r>
    </w:p>
    <w:p w:rsidR="00AC084B" w:rsidRPr="00150D48" w:rsidRDefault="00AC084B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2C2F32" w:rsidRPr="00150D48" w:rsidRDefault="002C2F32" w:rsidP="002C2F32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150D48">
        <w:rPr>
          <w:rFonts w:ascii="Tahoma" w:hAnsi="Tahoma" w:cs="Tahoma"/>
          <w:sz w:val="18"/>
          <w:szCs w:val="18"/>
          <w:lang w:val="hr-HR"/>
        </w:rPr>
        <w:t>Посматрано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п</w:t>
      </w:r>
      <w:r w:rsidRPr="00150D48">
        <w:rPr>
          <w:rFonts w:ascii="Tahoma" w:hAnsi="Tahoma" w:cs="Tahoma"/>
          <w:sz w:val="18"/>
          <w:szCs w:val="18"/>
          <w:lang w:val="hr-HR"/>
        </w:rPr>
        <w:t>о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намјени потрошње, </w:t>
      </w:r>
      <w:r w:rsidRPr="00150D48">
        <w:rPr>
          <w:rFonts w:ascii="Tahoma" w:hAnsi="Tahoma" w:cs="Tahoma"/>
          <w:sz w:val="18"/>
          <w:szCs w:val="18"/>
          <w:lang w:val="hr-HR"/>
        </w:rPr>
        <w:t>у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новембру </w:t>
      </w:r>
      <w:r w:rsidRPr="00150D48">
        <w:rPr>
          <w:rFonts w:ascii="Tahoma" w:hAnsi="Tahoma" w:cs="Tahoma"/>
          <w:sz w:val="18"/>
          <w:szCs w:val="18"/>
          <w:lang w:val="hr-HR"/>
        </w:rPr>
        <w:t>20</w:t>
      </w:r>
      <w:r w:rsidRPr="00150D48">
        <w:rPr>
          <w:rFonts w:ascii="Tahoma" w:hAnsi="Tahoma" w:cs="Tahoma"/>
          <w:sz w:val="18"/>
          <w:szCs w:val="18"/>
          <w:lang w:val="sr-Cyrl-CS"/>
        </w:rPr>
        <w:t>11</w:t>
      </w:r>
      <w:r w:rsidRPr="00150D48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150D48">
        <w:rPr>
          <w:rFonts w:ascii="Tahoma" w:hAnsi="Tahoma" w:cs="Tahoma"/>
          <w:sz w:val="18"/>
          <w:szCs w:val="18"/>
          <w:lang w:val="hr-HR"/>
        </w:rPr>
        <w:t>у односу на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октобар</w:t>
      </w:r>
      <w:r w:rsidRPr="00150D48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150D48">
        <w:rPr>
          <w:rFonts w:ascii="Tahoma" w:hAnsi="Tahoma" w:cs="Tahoma"/>
          <w:sz w:val="18"/>
          <w:szCs w:val="18"/>
          <w:lang w:val="hr-HR"/>
        </w:rPr>
        <w:t>201</w:t>
      </w:r>
      <w:r w:rsidRPr="00150D48">
        <w:rPr>
          <w:rFonts w:ascii="Tahoma" w:hAnsi="Tahoma" w:cs="Tahoma"/>
          <w:sz w:val="18"/>
          <w:szCs w:val="18"/>
          <w:lang w:val="sr-Cyrl-CS"/>
        </w:rPr>
        <w:t>1. године цијене нетрајних производа за широку потрошњу у просјеку</w:t>
      </w:r>
      <w:r w:rsidRPr="00150D48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150D48">
        <w:rPr>
          <w:rFonts w:ascii="Tahoma" w:hAnsi="Tahoma" w:cs="Tahoma"/>
          <w:sz w:val="18"/>
          <w:szCs w:val="18"/>
          <w:lang w:val="sr-Cyrl-CS"/>
        </w:rPr>
        <w:t>су више</w:t>
      </w:r>
      <w:r w:rsidRPr="00150D48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150D48">
        <w:rPr>
          <w:rFonts w:ascii="Tahoma" w:hAnsi="Tahoma" w:cs="Tahoma"/>
          <w:sz w:val="18"/>
          <w:szCs w:val="18"/>
          <w:lang w:val="sr-Cyrl-CS"/>
        </w:rPr>
        <w:t>за</w:t>
      </w:r>
      <w:r w:rsidRPr="00150D48">
        <w:rPr>
          <w:rFonts w:ascii="Tahoma" w:hAnsi="Tahoma" w:cs="Tahoma"/>
          <w:sz w:val="18"/>
          <w:szCs w:val="18"/>
          <w:lang w:val="sr-Latn-CS"/>
        </w:rPr>
        <w:t xml:space="preserve"> 0,</w:t>
      </w:r>
      <w:r w:rsidRPr="00150D48">
        <w:rPr>
          <w:rFonts w:ascii="Tahoma" w:hAnsi="Tahoma" w:cs="Tahoma"/>
          <w:sz w:val="18"/>
          <w:szCs w:val="18"/>
        </w:rPr>
        <w:t>4</w:t>
      </w:r>
      <w:r w:rsidRPr="00150D48">
        <w:rPr>
          <w:rFonts w:ascii="Tahoma" w:hAnsi="Tahoma" w:cs="Tahoma"/>
          <w:sz w:val="18"/>
          <w:szCs w:val="18"/>
          <w:lang w:val="sr-Latn-CS"/>
        </w:rPr>
        <w:t>%</w:t>
      </w:r>
      <w:r w:rsidRPr="00150D48">
        <w:rPr>
          <w:rFonts w:ascii="Tahoma" w:hAnsi="Tahoma" w:cs="Tahoma"/>
          <w:sz w:val="18"/>
          <w:szCs w:val="18"/>
          <w:lang w:val="sr-Cyrl-CS"/>
        </w:rPr>
        <w:t>, цијене капиталних прозвода за 0,2%, цијене интермедијарних производа у просјеку</w:t>
      </w:r>
      <w:r w:rsidRPr="00150D48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150D48">
        <w:rPr>
          <w:rFonts w:ascii="Tahoma" w:hAnsi="Tahoma" w:cs="Tahoma"/>
          <w:sz w:val="18"/>
          <w:szCs w:val="18"/>
          <w:lang w:val="sr-Cyrl-CS"/>
        </w:rPr>
        <w:t>су ниже за 0,</w:t>
      </w:r>
      <w:r w:rsidRPr="00150D48">
        <w:rPr>
          <w:rFonts w:ascii="Tahoma" w:hAnsi="Tahoma" w:cs="Tahoma"/>
          <w:sz w:val="18"/>
          <w:szCs w:val="18"/>
          <w:lang w:val="sr-Latn-CS"/>
        </w:rPr>
        <w:t>4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%, цијене енергије </w:t>
      </w:r>
      <w:r w:rsidRPr="00150D48">
        <w:rPr>
          <w:rFonts w:ascii="Tahoma" w:hAnsi="Tahoma" w:cs="Tahoma"/>
          <w:sz w:val="18"/>
          <w:szCs w:val="18"/>
          <w:lang w:val="sr-Latn-CS"/>
        </w:rPr>
        <w:t xml:space="preserve">za 0,3%, </w:t>
      </w:r>
      <w:r w:rsidRPr="00150D48">
        <w:rPr>
          <w:rFonts w:ascii="Tahoma" w:hAnsi="Tahoma" w:cs="Tahoma"/>
          <w:sz w:val="18"/>
          <w:szCs w:val="18"/>
          <w:lang w:val="sr-Cyrl-CS"/>
        </w:rPr>
        <w:t>док су као и цијене трајних производа за широку потрошњу у просјеку остале на истом нивоу.</w:t>
      </w:r>
    </w:p>
    <w:p w:rsidR="00AC084B" w:rsidRPr="00150D48" w:rsidRDefault="00AC084B" w:rsidP="0020048F">
      <w:pPr>
        <w:ind w:firstLine="90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E0301" w:rsidRPr="00150D48" w:rsidRDefault="005E0301" w:rsidP="0020048F">
      <w:pPr>
        <w:jc w:val="both"/>
        <w:rPr>
          <w:rFonts w:ascii="Tahoma" w:hAnsi="Tahoma" w:cs="Tahoma"/>
          <w:sz w:val="18"/>
          <w:szCs w:val="18"/>
          <w:lang w:val="sr-Latn-BA"/>
        </w:rPr>
      </w:pPr>
      <w:r w:rsidRPr="00150D48">
        <w:rPr>
          <w:rFonts w:ascii="Tahoma" w:hAnsi="Tahoma" w:cs="Tahoma"/>
          <w:sz w:val="18"/>
          <w:szCs w:val="18"/>
          <w:lang w:val="sr-Cyrl-CS"/>
        </w:rPr>
        <w:t xml:space="preserve">Цијене </w:t>
      </w:r>
      <w:r w:rsidR="000A5A08" w:rsidRPr="00150D48">
        <w:rPr>
          <w:rFonts w:ascii="Tahoma" w:hAnsi="Tahoma" w:cs="Tahoma"/>
          <w:sz w:val="18"/>
          <w:szCs w:val="18"/>
          <w:lang w:val="sr-Cyrl-CS"/>
        </w:rPr>
        <w:t>капиталних прозвода</w:t>
      </w:r>
      <w:r w:rsidRPr="00150D48">
        <w:rPr>
          <w:rFonts w:ascii="Tahoma" w:hAnsi="Tahoma" w:cs="Tahoma"/>
          <w:sz w:val="18"/>
          <w:szCs w:val="18"/>
          <w:lang w:val="sr-Cyrl-CS"/>
        </w:rPr>
        <w:t>, п</w:t>
      </w:r>
      <w:r w:rsidRPr="00150D48">
        <w:rPr>
          <w:rFonts w:ascii="Tahoma" w:hAnsi="Tahoma" w:cs="Tahoma"/>
          <w:sz w:val="18"/>
          <w:szCs w:val="18"/>
          <w:lang w:val="hr-HR"/>
        </w:rPr>
        <w:t>осматрано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п</w:t>
      </w:r>
      <w:r w:rsidRPr="00150D48">
        <w:rPr>
          <w:rFonts w:ascii="Tahoma" w:hAnsi="Tahoma" w:cs="Tahoma"/>
          <w:sz w:val="18"/>
          <w:szCs w:val="18"/>
          <w:lang w:val="hr-HR"/>
        </w:rPr>
        <w:t>о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намјени потрошње,</w:t>
      </w:r>
      <w:r w:rsidRPr="00150D48">
        <w:rPr>
          <w:rFonts w:ascii="Tahoma" w:hAnsi="Tahoma" w:cs="Tahoma"/>
          <w:sz w:val="18"/>
          <w:szCs w:val="18"/>
          <w:lang w:val="hr-HR"/>
        </w:rPr>
        <w:t xml:space="preserve"> у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>новембру</w:t>
      </w:r>
      <w:r w:rsidRPr="00150D48">
        <w:rPr>
          <w:rFonts w:ascii="Tahoma" w:hAnsi="Tahoma" w:cs="Tahoma"/>
          <w:sz w:val="18"/>
          <w:szCs w:val="18"/>
          <w:lang w:val="hr-HR"/>
        </w:rPr>
        <w:t xml:space="preserve"> 20</w:t>
      </w:r>
      <w:r w:rsidR="00AA2389" w:rsidRPr="00150D48">
        <w:rPr>
          <w:rFonts w:ascii="Tahoma" w:hAnsi="Tahoma" w:cs="Tahoma"/>
          <w:sz w:val="18"/>
          <w:szCs w:val="18"/>
          <w:lang w:val="sr-Cyrl-CS"/>
        </w:rPr>
        <w:t>11</w:t>
      </w:r>
      <w:r w:rsidRPr="00150D48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150D48">
        <w:rPr>
          <w:rFonts w:ascii="Tahoma" w:hAnsi="Tahoma" w:cs="Tahoma"/>
          <w:sz w:val="18"/>
          <w:szCs w:val="18"/>
          <w:lang w:val="hr-HR"/>
        </w:rPr>
        <w:t>у односу на</w:t>
      </w:r>
      <w:r w:rsidR="00AA2389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>новембар</w:t>
      </w:r>
      <w:r w:rsidR="00AA2389" w:rsidRPr="00150D48">
        <w:rPr>
          <w:rFonts w:ascii="Tahoma" w:hAnsi="Tahoma" w:cs="Tahoma"/>
          <w:sz w:val="18"/>
          <w:szCs w:val="18"/>
          <w:lang w:val="sr-Cyrl-CS"/>
        </w:rPr>
        <w:t xml:space="preserve"> 2010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. </w:t>
      </w:r>
      <w:r w:rsidR="00AA2389" w:rsidRPr="00150D48">
        <w:rPr>
          <w:rFonts w:ascii="Tahoma" w:hAnsi="Tahoma" w:cs="Tahoma"/>
          <w:sz w:val="18"/>
          <w:szCs w:val="18"/>
          <w:lang w:val="sr-Cyrl-CS"/>
        </w:rPr>
        <w:t>г</w:t>
      </w:r>
      <w:r w:rsidRPr="00150D48">
        <w:rPr>
          <w:rFonts w:ascii="Tahoma" w:hAnsi="Tahoma" w:cs="Tahoma"/>
          <w:sz w:val="18"/>
          <w:szCs w:val="18"/>
          <w:lang w:val="sr-Cyrl-CS"/>
        </w:rPr>
        <w:t>одине</w:t>
      </w:r>
      <w:r w:rsidR="00153234" w:rsidRPr="00150D48">
        <w:rPr>
          <w:rFonts w:ascii="Tahoma" w:hAnsi="Tahoma" w:cs="Tahoma"/>
          <w:sz w:val="18"/>
          <w:szCs w:val="18"/>
          <w:lang w:val="sr-Cyrl-CS"/>
        </w:rPr>
        <w:t>,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у просјеку</w:t>
      </w:r>
      <w:r w:rsidRPr="00150D48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150D48">
        <w:rPr>
          <w:rFonts w:ascii="Tahoma" w:hAnsi="Tahoma" w:cs="Tahoma"/>
          <w:sz w:val="18"/>
          <w:szCs w:val="18"/>
          <w:lang w:val="sr-Cyrl-CS"/>
        </w:rPr>
        <w:t>су више</w:t>
      </w:r>
      <w:r w:rsidRPr="00150D48">
        <w:rPr>
          <w:rFonts w:ascii="Tahoma" w:hAnsi="Tahoma" w:cs="Tahoma"/>
          <w:sz w:val="18"/>
          <w:szCs w:val="18"/>
          <w:lang w:val="sr-Latn-BA"/>
        </w:rPr>
        <w:t xml:space="preserve"> 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>за 11,1</w:t>
      </w:r>
      <w:r w:rsidRPr="00150D48">
        <w:rPr>
          <w:rFonts w:ascii="Tahoma" w:hAnsi="Tahoma" w:cs="Tahoma"/>
          <w:sz w:val="18"/>
          <w:szCs w:val="18"/>
          <w:lang w:val="sr-Cyrl-CS"/>
        </w:rPr>
        <w:t>%</w:t>
      </w:r>
      <w:r w:rsidR="00153234" w:rsidRPr="00150D48">
        <w:rPr>
          <w:rFonts w:ascii="Tahoma" w:hAnsi="Tahoma" w:cs="Tahoma"/>
          <w:sz w:val="18"/>
          <w:szCs w:val="18"/>
          <w:lang w:val="sr-Cyrl-CS"/>
        </w:rPr>
        <w:t>,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A1128C" w:rsidRPr="00150D48">
        <w:rPr>
          <w:rFonts w:ascii="Tahoma" w:hAnsi="Tahoma" w:cs="Tahoma"/>
          <w:sz w:val="18"/>
          <w:szCs w:val="18"/>
          <w:lang w:val="sr-Cyrl-CS"/>
        </w:rPr>
        <w:t>цијене нетрајних про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>извода за широку потрошњу за 4,7</w:t>
      </w:r>
      <w:r w:rsidR="00A1128C" w:rsidRPr="00150D48">
        <w:rPr>
          <w:rFonts w:ascii="Tahoma" w:hAnsi="Tahoma" w:cs="Tahoma"/>
          <w:sz w:val="18"/>
          <w:szCs w:val="18"/>
          <w:lang w:val="sr-Cyrl-CS"/>
        </w:rPr>
        <w:t xml:space="preserve">%, </w:t>
      </w:r>
      <w:r w:rsidR="00B648A4" w:rsidRPr="00150D48">
        <w:rPr>
          <w:rFonts w:ascii="Tahoma" w:hAnsi="Tahoma" w:cs="Tahoma"/>
          <w:sz w:val="18"/>
          <w:szCs w:val="18"/>
          <w:lang w:val="sr-Cyrl-CS"/>
        </w:rPr>
        <w:t xml:space="preserve">цијене енергије за 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>4,6</w:t>
      </w:r>
      <w:r w:rsidR="00EB7E5A" w:rsidRPr="00150D48">
        <w:rPr>
          <w:rFonts w:ascii="Tahoma" w:hAnsi="Tahoma" w:cs="Tahoma"/>
          <w:sz w:val="18"/>
          <w:szCs w:val="18"/>
          <w:lang w:val="sr-Cyrl-CS"/>
        </w:rPr>
        <w:t xml:space="preserve">%, </w:t>
      </w:r>
      <w:r w:rsidRPr="00150D48">
        <w:rPr>
          <w:rFonts w:ascii="Tahoma" w:hAnsi="Tahoma" w:cs="Tahoma"/>
          <w:sz w:val="18"/>
          <w:szCs w:val="18"/>
          <w:lang w:val="sr-Cyrl-CS"/>
        </w:rPr>
        <w:t>цијене</w:t>
      </w:r>
      <w:r w:rsidR="000A5A08" w:rsidRPr="00150D48">
        <w:rPr>
          <w:rFonts w:ascii="Tahoma" w:hAnsi="Tahoma" w:cs="Tahoma"/>
          <w:sz w:val="18"/>
          <w:szCs w:val="18"/>
          <w:lang w:val="sr-Cyrl-CS"/>
        </w:rPr>
        <w:t xml:space="preserve"> интермедијарних производа</w:t>
      </w:r>
      <w:r w:rsidR="00AA2389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 xml:space="preserve">за </w:t>
      </w:r>
      <w:r w:rsidR="007A6DAD" w:rsidRPr="00150D48">
        <w:rPr>
          <w:rFonts w:ascii="Tahoma" w:hAnsi="Tahoma" w:cs="Tahoma"/>
          <w:sz w:val="18"/>
          <w:szCs w:val="18"/>
          <w:lang w:val="sr-Cyrl-CS"/>
        </w:rPr>
        <w:t>1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>,4</w:t>
      </w:r>
      <w:r w:rsidRPr="00150D48">
        <w:rPr>
          <w:rFonts w:ascii="Tahoma" w:hAnsi="Tahoma" w:cs="Tahoma"/>
          <w:sz w:val="18"/>
          <w:szCs w:val="18"/>
          <w:lang w:val="sr-Cyrl-CS"/>
        </w:rPr>
        <w:t>%,</w:t>
      </w:r>
      <w:r w:rsidR="00C1065E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B648A4" w:rsidRPr="00150D48">
        <w:rPr>
          <w:rFonts w:ascii="Tahoma" w:hAnsi="Tahoma" w:cs="Tahoma"/>
          <w:sz w:val="18"/>
          <w:szCs w:val="18"/>
          <w:lang w:val="sr-Cyrl-CS"/>
        </w:rPr>
        <w:t>док су</w:t>
      </w:r>
      <w:r w:rsidR="00AC054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цијене трајних производа за широку потрошњу </w:t>
      </w:r>
      <w:r w:rsidR="002C2F32" w:rsidRPr="00150D48">
        <w:rPr>
          <w:rFonts w:ascii="Tahoma" w:hAnsi="Tahoma" w:cs="Tahoma"/>
          <w:sz w:val="18"/>
          <w:szCs w:val="18"/>
          <w:lang w:val="sr-Cyrl-CS"/>
        </w:rPr>
        <w:t>у просјеку ниже за 0,7</w:t>
      </w:r>
      <w:r w:rsidRPr="00150D48">
        <w:rPr>
          <w:rFonts w:ascii="Tahoma" w:hAnsi="Tahoma" w:cs="Tahoma"/>
          <w:sz w:val="18"/>
          <w:szCs w:val="18"/>
          <w:lang w:val="sr-Cyrl-CS"/>
        </w:rPr>
        <w:t>%.</w:t>
      </w:r>
    </w:p>
    <w:p w:rsidR="005E0301" w:rsidRPr="00150D48" w:rsidRDefault="005E0301" w:rsidP="0020048F">
      <w:pPr>
        <w:ind w:left="-540"/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</w:p>
    <w:p w:rsidR="00E92C59" w:rsidRPr="00150D48" w:rsidRDefault="00E92C59" w:rsidP="00CF50FB">
      <w:pPr>
        <w:jc w:val="both"/>
        <w:rPr>
          <w:rFonts w:ascii="Tahoma" w:hAnsi="Tahoma" w:cs="Tahoma"/>
          <w:sz w:val="18"/>
          <w:szCs w:val="18"/>
          <w:lang w:val="hr-HR"/>
        </w:rPr>
      </w:pPr>
    </w:p>
    <w:p w:rsidR="00E92C59" w:rsidRPr="00150D48" w:rsidRDefault="00E92C59" w:rsidP="00CF50FB">
      <w:pPr>
        <w:jc w:val="both"/>
        <w:rPr>
          <w:rFonts w:ascii="Tahoma" w:hAnsi="Tahoma" w:cs="Tahoma"/>
          <w:sz w:val="18"/>
          <w:szCs w:val="18"/>
          <w:lang w:val="hr-HR"/>
        </w:rPr>
      </w:pPr>
    </w:p>
    <w:p w:rsidR="00E92C59" w:rsidRPr="00150D48" w:rsidRDefault="00E92C59" w:rsidP="00CF50FB">
      <w:pPr>
        <w:jc w:val="both"/>
        <w:rPr>
          <w:rFonts w:ascii="Tahoma" w:hAnsi="Tahoma" w:cs="Tahoma"/>
          <w:sz w:val="18"/>
          <w:szCs w:val="18"/>
          <w:lang w:val="hr-HR"/>
        </w:rPr>
      </w:pPr>
    </w:p>
    <w:p w:rsidR="00E92C59" w:rsidRPr="00150D48" w:rsidRDefault="00E92C59" w:rsidP="00CF50FB">
      <w:pPr>
        <w:jc w:val="both"/>
        <w:rPr>
          <w:rFonts w:ascii="Tahoma" w:hAnsi="Tahoma" w:cs="Tahoma"/>
          <w:sz w:val="18"/>
          <w:szCs w:val="18"/>
          <w:lang w:val="hr-HR"/>
        </w:rPr>
      </w:pPr>
    </w:p>
    <w:p w:rsidR="00E92C59" w:rsidRPr="00150D48" w:rsidRDefault="00E92C59" w:rsidP="00CF50FB">
      <w:pPr>
        <w:jc w:val="both"/>
        <w:rPr>
          <w:rFonts w:ascii="Tahoma" w:hAnsi="Tahoma" w:cs="Tahoma"/>
          <w:sz w:val="18"/>
          <w:szCs w:val="18"/>
          <w:lang w:val="hr-HR"/>
        </w:rPr>
      </w:pPr>
    </w:p>
    <w:p w:rsidR="00E92C59" w:rsidRPr="00150D48" w:rsidRDefault="00E92C59" w:rsidP="00CF50FB">
      <w:pPr>
        <w:jc w:val="both"/>
        <w:rPr>
          <w:rFonts w:ascii="Tahoma" w:hAnsi="Tahoma" w:cs="Tahoma"/>
          <w:sz w:val="18"/>
          <w:szCs w:val="18"/>
          <w:lang w:val="hr-HR"/>
        </w:rPr>
      </w:pPr>
    </w:p>
    <w:p w:rsidR="00E92C59" w:rsidRPr="00150D48" w:rsidRDefault="00E92C59" w:rsidP="00CF50FB">
      <w:pPr>
        <w:jc w:val="both"/>
        <w:rPr>
          <w:rFonts w:ascii="Tahoma" w:hAnsi="Tahoma" w:cs="Tahoma"/>
          <w:sz w:val="18"/>
          <w:szCs w:val="18"/>
          <w:lang w:val="hr-HR"/>
        </w:rPr>
      </w:pPr>
    </w:p>
    <w:p w:rsidR="00E92C59" w:rsidRPr="00150D48" w:rsidRDefault="00E92C59" w:rsidP="00CF50FB">
      <w:pPr>
        <w:jc w:val="both"/>
        <w:rPr>
          <w:rFonts w:ascii="Tahoma" w:hAnsi="Tahoma" w:cs="Tahoma"/>
          <w:sz w:val="18"/>
          <w:szCs w:val="18"/>
          <w:lang w:val="hr-HR"/>
        </w:rPr>
      </w:pPr>
    </w:p>
    <w:p w:rsidR="00CF50FB" w:rsidRPr="00150D48" w:rsidRDefault="00CF50FB" w:rsidP="00CF50FB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150D48">
        <w:rPr>
          <w:rFonts w:ascii="Tahoma" w:hAnsi="Tahoma" w:cs="Tahoma"/>
          <w:sz w:val="18"/>
          <w:szCs w:val="18"/>
          <w:lang w:val="hr-HR"/>
        </w:rPr>
        <w:t xml:space="preserve">Посматрано по </w:t>
      </w:r>
      <w:r w:rsidRPr="00150D48">
        <w:rPr>
          <w:rFonts w:ascii="Tahoma" w:hAnsi="Tahoma" w:cs="Tahoma"/>
          <w:sz w:val="18"/>
          <w:szCs w:val="18"/>
          <w:lang w:val="sr-Cyrl-CS"/>
        </w:rPr>
        <w:t>подручјима</w:t>
      </w:r>
      <w:r w:rsidRPr="00150D48">
        <w:rPr>
          <w:rFonts w:ascii="Tahoma" w:hAnsi="Tahoma" w:cs="Tahoma"/>
          <w:sz w:val="18"/>
          <w:szCs w:val="18"/>
          <w:lang w:val="hr-HR"/>
        </w:rPr>
        <w:t xml:space="preserve"> </w:t>
      </w:r>
      <w:r w:rsidRPr="00150D48">
        <w:rPr>
          <w:rFonts w:ascii="Tahoma" w:hAnsi="Tahoma" w:cs="Tahoma"/>
          <w:sz w:val="18"/>
          <w:szCs w:val="18"/>
          <w:lang w:val="sr-Cyrl-CS"/>
        </w:rPr>
        <w:t>индустријске производње</w:t>
      </w:r>
      <w:r w:rsidRPr="00150D48">
        <w:rPr>
          <w:rFonts w:ascii="Tahoma" w:hAnsi="Tahoma" w:cs="Tahoma"/>
          <w:sz w:val="18"/>
          <w:szCs w:val="18"/>
          <w:lang w:val="hr-HR"/>
        </w:rPr>
        <w:t xml:space="preserve"> (</w:t>
      </w:r>
      <w:r w:rsidRPr="00150D48">
        <w:rPr>
          <w:rFonts w:ascii="Tahoma" w:hAnsi="Tahoma" w:cs="Tahoma"/>
          <w:sz w:val="18"/>
          <w:szCs w:val="18"/>
          <w:lang w:val="sr-Cyrl-CS"/>
        </w:rPr>
        <w:t>PRODCOM</w:t>
      </w:r>
      <w:r w:rsidRPr="00150D48">
        <w:rPr>
          <w:rFonts w:ascii="Tahoma" w:hAnsi="Tahoma" w:cs="Tahoma"/>
          <w:sz w:val="18"/>
          <w:szCs w:val="18"/>
          <w:lang w:val="hr-HR"/>
        </w:rPr>
        <w:t>)</w:t>
      </w:r>
      <w:r w:rsidRPr="00150D48">
        <w:rPr>
          <w:rFonts w:ascii="Tahoma" w:hAnsi="Tahoma" w:cs="Tahoma"/>
          <w:sz w:val="18"/>
          <w:szCs w:val="18"/>
          <w:lang w:val="sr-Cyrl-CS"/>
        </w:rPr>
        <w:t>,</w:t>
      </w:r>
      <w:r w:rsidRPr="00150D48">
        <w:rPr>
          <w:rFonts w:ascii="Tahoma" w:hAnsi="Tahoma" w:cs="Tahoma"/>
          <w:sz w:val="18"/>
          <w:szCs w:val="18"/>
          <w:lang w:val="hr-HR"/>
        </w:rPr>
        <w:t xml:space="preserve"> </w:t>
      </w:r>
      <w:r w:rsidRPr="00150D48">
        <w:rPr>
          <w:rFonts w:ascii="Tahoma" w:hAnsi="Tahoma" w:cs="Tahoma"/>
          <w:sz w:val="18"/>
          <w:szCs w:val="18"/>
          <w:lang w:val="sr-Cyrl-CS"/>
        </w:rPr>
        <w:t>цијене подручја</w:t>
      </w:r>
      <w:r w:rsidRPr="00150D48">
        <w:rPr>
          <w:rFonts w:ascii="Tahoma" w:hAnsi="Tahoma" w:cs="Tahoma"/>
          <w:sz w:val="18"/>
          <w:szCs w:val="18"/>
        </w:rPr>
        <w:t xml:space="preserve"> </w:t>
      </w:r>
      <w:r w:rsidRPr="00150D48">
        <w:rPr>
          <w:rFonts w:ascii="Tahoma" w:hAnsi="Tahoma" w:cs="Tahoma"/>
          <w:sz w:val="18"/>
          <w:szCs w:val="18"/>
          <w:lang w:val="sr-Cyrl-CS"/>
        </w:rPr>
        <w:t>(Ц)</w:t>
      </w:r>
      <w:r w:rsidRPr="00150D48">
        <w:rPr>
          <w:rFonts w:ascii="Tahoma" w:hAnsi="Tahoma" w:cs="Tahoma"/>
          <w:sz w:val="18"/>
          <w:szCs w:val="18"/>
          <w:lang w:val="hr-HR"/>
        </w:rPr>
        <w:t xml:space="preserve"> </w:t>
      </w:r>
      <w:r w:rsidRPr="00150D48">
        <w:rPr>
          <w:rFonts w:ascii="Tahoma" w:hAnsi="Tahoma" w:cs="Tahoma"/>
          <w:sz w:val="18"/>
          <w:szCs w:val="18"/>
          <w:lang w:val="sr-Cyrl-CS"/>
        </w:rPr>
        <w:t>вађење руда и камена</w:t>
      </w:r>
      <w:r w:rsidRPr="00150D48">
        <w:rPr>
          <w:rFonts w:ascii="Tahoma" w:hAnsi="Tahoma" w:cs="Tahoma"/>
          <w:sz w:val="18"/>
          <w:szCs w:val="18"/>
        </w:rPr>
        <w:t>,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150D48">
        <w:rPr>
          <w:rFonts w:ascii="Tahoma" w:hAnsi="Tahoma" w:cs="Tahoma"/>
          <w:sz w:val="18"/>
          <w:szCs w:val="18"/>
          <w:lang w:val="hr-HR"/>
        </w:rPr>
        <w:t>у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новембру </w:t>
      </w:r>
      <w:r w:rsidRPr="00150D48">
        <w:rPr>
          <w:rFonts w:ascii="Tahoma" w:hAnsi="Tahoma" w:cs="Tahoma"/>
          <w:sz w:val="18"/>
          <w:szCs w:val="18"/>
          <w:lang w:val="hr-HR"/>
        </w:rPr>
        <w:t>20</w:t>
      </w:r>
      <w:r w:rsidRPr="00150D48">
        <w:rPr>
          <w:rFonts w:ascii="Tahoma" w:hAnsi="Tahoma" w:cs="Tahoma"/>
          <w:sz w:val="18"/>
          <w:szCs w:val="18"/>
          <w:lang w:val="sr-Cyrl-CS"/>
        </w:rPr>
        <w:t>11</w:t>
      </w:r>
      <w:r w:rsidRPr="00150D48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150D48">
        <w:rPr>
          <w:rFonts w:ascii="Tahoma" w:hAnsi="Tahoma" w:cs="Tahoma"/>
          <w:sz w:val="18"/>
          <w:szCs w:val="18"/>
          <w:lang w:val="sr-Cyrl-CS"/>
        </w:rPr>
        <w:t>године у</w:t>
      </w:r>
      <w:r w:rsidRPr="00150D48">
        <w:rPr>
          <w:rFonts w:ascii="Tahoma" w:hAnsi="Tahoma" w:cs="Tahoma"/>
          <w:sz w:val="18"/>
          <w:szCs w:val="18"/>
          <w:lang w:val="hr-HR"/>
        </w:rPr>
        <w:t xml:space="preserve"> односу на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октобар</w:t>
      </w:r>
      <w:r w:rsidRPr="00150D48">
        <w:rPr>
          <w:rFonts w:ascii="Tahoma" w:hAnsi="Tahoma" w:cs="Tahoma"/>
          <w:sz w:val="18"/>
          <w:szCs w:val="18"/>
          <w:lang w:val="hr-HR"/>
        </w:rPr>
        <w:t xml:space="preserve"> 201</w:t>
      </w:r>
      <w:r w:rsidRPr="00150D48">
        <w:rPr>
          <w:rFonts w:ascii="Tahoma" w:hAnsi="Tahoma" w:cs="Tahoma"/>
          <w:sz w:val="18"/>
          <w:szCs w:val="18"/>
          <w:lang w:val="sr-Cyrl-CS"/>
        </w:rPr>
        <w:t>1</w:t>
      </w:r>
      <w:r w:rsidRPr="00150D48">
        <w:rPr>
          <w:rFonts w:ascii="Tahoma" w:hAnsi="Tahoma" w:cs="Tahoma"/>
          <w:sz w:val="18"/>
          <w:szCs w:val="18"/>
          <w:lang w:val="hr-HR"/>
        </w:rPr>
        <w:t>.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године у просјеку су ниже</w:t>
      </w:r>
      <w:r w:rsidRPr="00150D48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150D48">
        <w:rPr>
          <w:rFonts w:ascii="Tahoma" w:hAnsi="Tahoma" w:cs="Tahoma"/>
          <w:sz w:val="18"/>
          <w:szCs w:val="18"/>
          <w:lang w:val="sr-Cyrl-CS"/>
        </w:rPr>
        <w:t>за 0</w:t>
      </w:r>
      <w:r w:rsidRPr="00150D48">
        <w:rPr>
          <w:rFonts w:ascii="Tahoma" w:hAnsi="Tahoma" w:cs="Tahoma"/>
          <w:sz w:val="18"/>
          <w:szCs w:val="18"/>
          <w:lang w:val="sr-Latn-CS"/>
        </w:rPr>
        <w:t>,</w:t>
      </w:r>
      <w:r w:rsidRPr="00150D48">
        <w:rPr>
          <w:rFonts w:ascii="Tahoma" w:hAnsi="Tahoma" w:cs="Tahoma"/>
          <w:sz w:val="18"/>
          <w:szCs w:val="18"/>
          <w:lang w:val="sr-Cyrl-CS"/>
        </w:rPr>
        <w:t>8%, цијене</w:t>
      </w:r>
      <w:r w:rsidRPr="00150D48">
        <w:rPr>
          <w:rFonts w:ascii="Tahoma" w:hAnsi="Tahoma" w:cs="Tahoma"/>
          <w:sz w:val="18"/>
          <w:szCs w:val="18"/>
        </w:rPr>
        <w:t xml:space="preserve"> </w:t>
      </w:r>
      <w:r w:rsidRPr="00150D48">
        <w:rPr>
          <w:rFonts w:ascii="Tahoma" w:hAnsi="Tahoma" w:cs="Tahoma"/>
          <w:sz w:val="18"/>
          <w:szCs w:val="18"/>
          <w:lang w:val="sr-Cyrl-CS"/>
        </w:rPr>
        <w:t>подручја (Д) прерађивачка индустрија за 0,1%, док су цијене подручја (Е)  производња и снабдјевање електричном енергијом, гасом и водом у просјеку остале на истом нивоу.</w:t>
      </w:r>
    </w:p>
    <w:p w:rsidR="00C0614D" w:rsidRPr="00150D48" w:rsidRDefault="00C0614D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874ED" w:rsidRPr="00150D48" w:rsidRDefault="005E0301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150D48">
        <w:rPr>
          <w:rFonts w:ascii="Tahoma" w:hAnsi="Tahoma" w:cs="Tahoma"/>
          <w:sz w:val="18"/>
          <w:szCs w:val="18"/>
          <w:lang w:val="bs-Cyrl-BA"/>
        </w:rPr>
        <w:t>У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>новембру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150D48">
        <w:rPr>
          <w:rFonts w:ascii="Tahoma" w:hAnsi="Tahoma" w:cs="Tahoma"/>
          <w:sz w:val="18"/>
          <w:szCs w:val="18"/>
          <w:lang w:val="hr-HR"/>
        </w:rPr>
        <w:t>20</w:t>
      </w:r>
      <w:r w:rsidR="00A507FC" w:rsidRPr="00150D48">
        <w:rPr>
          <w:rFonts w:ascii="Tahoma" w:hAnsi="Tahoma" w:cs="Tahoma"/>
          <w:sz w:val="18"/>
          <w:szCs w:val="18"/>
          <w:lang w:val="sr-Cyrl-CS"/>
        </w:rPr>
        <w:t>11</w:t>
      </w:r>
      <w:r w:rsidRPr="00150D48">
        <w:rPr>
          <w:rFonts w:ascii="Tahoma" w:hAnsi="Tahoma" w:cs="Tahoma"/>
          <w:sz w:val="18"/>
          <w:szCs w:val="18"/>
          <w:lang w:val="hr-HR"/>
        </w:rPr>
        <w:t xml:space="preserve">. </w:t>
      </w:r>
      <w:r w:rsidR="00E11FDF" w:rsidRPr="00150D48">
        <w:rPr>
          <w:rFonts w:ascii="Tahoma" w:hAnsi="Tahoma" w:cs="Tahoma"/>
          <w:sz w:val="18"/>
          <w:szCs w:val="18"/>
          <w:lang w:val="sr-Cyrl-CS"/>
        </w:rPr>
        <w:t>г</w:t>
      </w:r>
      <w:r w:rsidRPr="00150D48">
        <w:rPr>
          <w:rFonts w:ascii="Tahoma" w:hAnsi="Tahoma" w:cs="Tahoma"/>
          <w:sz w:val="18"/>
          <w:szCs w:val="18"/>
          <w:lang w:val="sr-Cyrl-CS"/>
        </w:rPr>
        <w:t>одине</w:t>
      </w:r>
      <w:r w:rsidR="001F5630" w:rsidRPr="00150D48">
        <w:rPr>
          <w:rFonts w:ascii="Tahoma" w:hAnsi="Tahoma" w:cs="Tahoma"/>
          <w:sz w:val="18"/>
          <w:szCs w:val="18"/>
          <w:lang w:val="sr-Cyrl-CS"/>
        </w:rPr>
        <w:t>,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150D48">
        <w:rPr>
          <w:rFonts w:ascii="Tahoma" w:hAnsi="Tahoma" w:cs="Tahoma"/>
          <w:sz w:val="18"/>
          <w:szCs w:val="18"/>
          <w:lang w:val="hr-HR"/>
        </w:rPr>
        <w:t>у односу на</w:t>
      </w:r>
      <w:r w:rsidR="00CD26F2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>новембар</w:t>
      </w:r>
      <w:r w:rsidR="007D1564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150D48">
        <w:rPr>
          <w:rFonts w:ascii="Tahoma" w:hAnsi="Tahoma" w:cs="Tahoma"/>
          <w:sz w:val="18"/>
          <w:szCs w:val="18"/>
          <w:lang w:val="hr-HR"/>
        </w:rPr>
        <w:t>20</w:t>
      </w:r>
      <w:r w:rsidR="00A507FC" w:rsidRPr="00150D48">
        <w:rPr>
          <w:rFonts w:ascii="Tahoma" w:hAnsi="Tahoma" w:cs="Tahoma"/>
          <w:sz w:val="18"/>
          <w:szCs w:val="18"/>
          <w:lang w:val="sr-Cyrl-CS"/>
        </w:rPr>
        <w:t>10</w:t>
      </w:r>
      <w:r w:rsidRPr="00150D48">
        <w:rPr>
          <w:rFonts w:ascii="Tahoma" w:hAnsi="Tahoma" w:cs="Tahoma"/>
          <w:sz w:val="18"/>
          <w:szCs w:val="18"/>
          <w:lang w:val="hr-HR"/>
        </w:rPr>
        <w:t>.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године,</w:t>
      </w:r>
      <w:r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150D48">
        <w:rPr>
          <w:rFonts w:ascii="Tahoma" w:hAnsi="Tahoma" w:cs="Tahoma"/>
          <w:sz w:val="18"/>
          <w:szCs w:val="18"/>
          <w:lang w:val="sr-Cyrl-CS"/>
        </w:rPr>
        <w:t>цијене подруч</w:t>
      </w:r>
      <w:r w:rsidRPr="00150D48">
        <w:rPr>
          <w:rFonts w:ascii="Tahoma" w:hAnsi="Tahoma" w:cs="Tahoma"/>
          <w:sz w:val="18"/>
          <w:szCs w:val="18"/>
        </w:rPr>
        <w:t>j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а </w:t>
      </w:r>
      <w:r w:rsidR="00B5460E" w:rsidRPr="00150D48">
        <w:rPr>
          <w:rFonts w:ascii="Tahoma" w:hAnsi="Tahoma" w:cs="Tahoma"/>
          <w:i/>
          <w:sz w:val="18"/>
          <w:szCs w:val="18"/>
          <w:lang w:val="sr-Cyrl-CS"/>
        </w:rPr>
        <w:t>Вађење руда и камена</w:t>
      </w:r>
      <w:r w:rsidR="00F445C9" w:rsidRPr="00150D48">
        <w:rPr>
          <w:rFonts w:ascii="Tahoma" w:hAnsi="Tahoma" w:cs="Tahoma"/>
          <w:sz w:val="18"/>
          <w:szCs w:val="18"/>
          <w:lang w:val="sr-Cyrl-CS"/>
        </w:rPr>
        <w:t xml:space="preserve">  у</w:t>
      </w:r>
      <w:r w:rsidR="000D4C8C" w:rsidRPr="00150D48">
        <w:rPr>
          <w:rFonts w:ascii="Tahoma" w:hAnsi="Tahoma" w:cs="Tahoma"/>
          <w:sz w:val="18"/>
          <w:szCs w:val="18"/>
          <w:lang w:val="sr-Cyrl-CS"/>
        </w:rPr>
        <w:t xml:space="preserve"> просјеку су више за </w:t>
      </w:r>
      <w:r w:rsidR="00CF50FB" w:rsidRPr="00150D48">
        <w:rPr>
          <w:rFonts w:ascii="Tahoma" w:hAnsi="Tahoma" w:cs="Tahoma"/>
          <w:sz w:val="18"/>
          <w:szCs w:val="18"/>
          <w:lang w:val="sr-Cyrl-CS"/>
        </w:rPr>
        <w:t>13,2</w:t>
      </w:r>
      <w:r w:rsidRPr="00150D48">
        <w:rPr>
          <w:rFonts w:ascii="Tahoma" w:hAnsi="Tahoma" w:cs="Tahoma"/>
          <w:sz w:val="18"/>
          <w:szCs w:val="18"/>
          <w:lang w:val="sr-Cyrl-CS"/>
        </w:rPr>
        <w:t>%, цијене подручја</w:t>
      </w:r>
      <w:r w:rsidR="00153234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B5460E" w:rsidRPr="00150D48">
        <w:rPr>
          <w:rFonts w:ascii="Tahoma" w:hAnsi="Tahoma" w:cs="Tahoma"/>
          <w:bCs/>
          <w:i/>
          <w:sz w:val="18"/>
          <w:szCs w:val="18"/>
          <w:lang w:val="sr-Cyrl-CS"/>
        </w:rPr>
        <w:t>Прерађивачка индустрија</w:t>
      </w:r>
      <w:r w:rsidR="00CF50FB" w:rsidRPr="00150D48">
        <w:rPr>
          <w:rFonts w:ascii="Tahoma" w:hAnsi="Tahoma" w:cs="Tahoma"/>
          <w:bCs/>
          <w:sz w:val="18"/>
          <w:szCs w:val="18"/>
          <w:lang w:val="sr-Cyrl-CS"/>
        </w:rPr>
        <w:t xml:space="preserve"> за 3,5</w:t>
      </w:r>
      <w:r w:rsidR="00305B23" w:rsidRPr="00150D48">
        <w:rPr>
          <w:rFonts w:ascii="Tahoma" w:hAnsi="Tahoma" w:cs="Tahoma"/>
          <w:bCs/>
          <w:sz w:val="18"/>
          <w:szCs w:val="18"/>
          <w:lang w:val="sr-Cyrl-CS"/>
        </w:rPr>
        <w:t>% и цијене подручја</w:t>
      </w:r>
      <w:r w:rsidR="00305B23" w:rsidRPr="00150D48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 w:rsidRPr="00150D48">
        <w:rPr>
          <w:rFonts w:ascii="Tahoma" w:hAnsi="Tahoma" w:cs="Tahoma"/>
          <w:bCs/>
          <w:i/>
          <w:sz w:val="18"/>
          <w:szCs w:val="18"/>
          <w:lang w:val="sr-Cyrl-CS"/>
        </w:rPr>
        <w:t>Производња и снабдијевање електричном енергијом</w:t>
      </w:r>
      <w:r w:rsidRPr="00150D48">
        <w:rPr>
          <w:rFonts w:ascii="Tahoma" w:hAnsi="Tahoma" w:cs="Tahoma"/>
          <w:bCs/>
          <w:sz w:val="18"/>
          <w:szCs w:val="18"/>
          <w:lang w:val="sr-Cyrl-CS"/>
        </w:rPr>
        <w:t xml:space="preserve">, </w:t>
      </w:r>
      <w:r w:rsidRPr="00150D48">
        <w:rPr>
          <w:rFonts w:ascii="Tahoma" w:hAnsi="Tahoma" w:cs="Tahoma"/>
          <w:bCs/>
          <w:i/>
          <w:sz w:val="18"/>
          <w:szCs w:val="18"/>
          <w:lang w:val="sr-Cyrl-CS"/>
        </w:rPr>
        <w:t>гасом и водом</w:t>
      </w:r>
      <w:r w:rsidR="00E025CC" w:rsidRPr="00150D48">
        <w:rPr>
          <w:rFonts w:ascii="Tahoma" w:hAnsi="Tahoma" w:cs="Tahoma"/>
          <w:sz w:val="18"/>
          <w:szCs w:val="18"/>
          <w:lang w:val="sr-Cyrl-CS"/>
        </w:rPr>
        <w:t xml:space="preserve"> за 1,2 </w:t>
      </w:r>
      <w:r w:rsidRPr="00150D48">
        <w:rPr>
          <w:rFonts w:ascii="Tahoma" w:hAnsi="Tahoma" w:cs="Tahoma"/>
          <w:sz w:val="18"/>
          <w:szCs w:val="18"/>
          <w:lang w:val="sr-Cyrl-CS"/>
        </w:rPr>
        <w:t>%</w:t>
      </w:r>
      <w:r w:rsidR="00305B23" w:rsidRPr="00150D48">
        <w:rPr>
          <w:rFonts w:ascii="Tahoma" w:hAnsi="Tahoma" w:cs="Tahoma"/>
          <w:sz w:val="18"/>
          <w:szCs w:val="18"/>
          <w:lang w:val="sr-Cyrl-CS"/>
        </w:rPr>
        <w:t>.</w:t>
      </w:r>
    </w:p>
    <w:p w:rsidR="002874ED" w:rsidRPr="00150D48" w:rsidRDefault="002874ED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D400E" w:rsidRPr="00150D48" w:rsidRDefault="005D400E" w:rsidP="0020048F">
      <w:pPr>
        <w:tabs>
          <w:tab w:val="left" w:pos="0"/>
          <w:tab w:val="left" w:pos="1100"/>
        </w:tabs>
        <w:jc w:val="both"/>
        <w:rPr>
          <w:rFonts w:ascii="Tahoma" w:hAnsi="Tahoma" w:cs="Tahoma"/>
          <w:b/>
          <w:spacing w:val="-4"/>
          <w:sz w:val="28"/>
          <w:szCs w:val="28"/>
          <w:lang w:val="sr-Cyrl-CS"/>
        </w:rPr>
      </w:pPr>
    </w:p>
    <w:p w:rsidR="005E0301" w:rsidRPr="00150D48" w:rsidRDefault="005E0301" w:rsidP="0020048F">
      <w:pPr>
        <w:tabs>
          <w:tab w:val="left" w:pos="0"/>
          <w:tab w:val="left" w:pos="1100"/>
        </w:tabs>
        <w:jc w:val="both"/>
        <w:rPr>
          <w:lang w:val="sr-Cyrl-CS"/>
        </w:rPr>
      </w:pPr>
      <w:r w:rsidRPr="00150D48">
        <w:rPr>
          <w:rFonts w:ascii="Tahoma" w:hAnsi="Tahoma" w:cs="Tahoma"/>
          <w:b/>
          <w:spacing w:val="-4"/>
          <w:sz w:val="28"/>
          <w:szCs w:val="28"/>
          <w:lang w:val="sr-Cyrl-CS"/>
        </w:rPr>
        <w:t xml:space="preserve">Индекс </w:t>
      </w:r>
      <w:r w:rsidRPr="00150D48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индустријске производње </w:t>
      </w:r>
      <w:r w:rsidR="00E578C7" w:rsidRPr="00150D48">
        <w:rPr>
          <w:rFonts w:ascii="Tahoma" w:hAnsi="Tahoma" w:cs="Tahoma"/>
          <w:b/>
          <w:spacing w:val="-4"/>
          <w:sz w:val="28"/>
          <w:szCs w:val="28"/>
          <w:lang w:val="hr-HR"/>
        </w:rPr>
        <w:t>(</w:t>
      </w:r>
      <w:r w:rsidR="00161921" w:rsidRPr="00150D48">
        <w:rPr>
          <w:rFonts w:ascii="Tahoma" w:hAnsi="Tahoma" w:cs="Tahoma"/>
          <w:b/>
          <w:spacing w:val="-4"/>
          <w:sz w:val="28"/>
          <w:szCs w:val="28"/>
        </w:rPr>
        <w:t>X</w:t>
      </w:r>
      <w:r w:rsidR="000D03D6" w:rsidRPr="00150D48">
        <w:rPr>
          <w:rFonts w:ascii="Tahoma" w:hAnsi="Tahoma" w:cs="Tahoma"/>
          <w:b/>
          <w:spacing w:val="-4"/>
          <w:sz w:val="28"/>
          <w:szCs w:val="28"/>
        </w:rPr>
        <w:t>I</w:t>
      </w:r>
      <w:r w:rsidRPr="00150D48">
        <w:rPr>
          <w:rFonts w:ascii="Tahoma" w:hAnsi="Tahoma" w:cs="Tahoma"/>
          <w:b/>
          <w:spacing w:val="-4"/>
          <w:sz w:val="28"/>
          <w:szCs w:val="28"/>
          <w:lang w:val="hr-HR"/>
        </w:rPr>
        <w:t xml:space="preserve"> 201</w:t>
      </w:r>
      <w:r w:rsidR="00E578C7" w:rsidRPr="00150D48">
        <w:rPr>
          <w:rFonts w:ascii="Tahoma" w:hAnsi="Tahoma" w:cs="Tahoma"/>
          <w:b/>
          <w:spacing w:val="-4"/>
          <w:sz w:val="28"/>
          <w:szCs w:val="28"/>
          <w:lang w:val="hr-HR"/>
        </w:rPr>
        <w:t>1</w:t>
      </w:r>
      <w:r w:rsidRPr="00150D48">
        <w:rPr>
          <w:rFonts w:ascii="Tahoma" w:hAnsi="Tahoma" w:cs="Tahoma"/>
          <w:b/>
          <w:spacing w:val="-4"/>
          <w:sz w:val="28"/>
          <w:szCs w:val="28"/>
          <w:lang w:val="hr-HR"/>
        </w:rPr>
        <w:t>/</w:t>
      </w:r>
      <w:r w:rsidRPr="00150D48">
        <w:rPr>
          <w:rFonts w:ascii="Tahoma" w:hAnsi="Tahoma" w:cs="Tahoma"/>
          <w:b/>
          <w:bCs/>
          <w:spacing w:val="-4"/>
          <w:sz w:val="28"/>
          <w:szCs w:val="28"/>
        </w:rPr>
        <w:sym w:font="Symbol" w:char="F0C6"/>
      </w:r>
      <w:r w:rsidRPr="00150D48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 xml:space="preserve"> </w:t>
      </w:r>
      <w:r w:rsidRPr="00150D48">
        <w:rPr>
          <w:rFonts w:ascii="Tahoma" w:hAnsi="Tahoma" w:cs="Tahoma"/>
          <w:b/>
          <w:bCs/>
          <w:spacing w:val="-4"/>
          <w:sz w:val="28"/>
          <w:szCs w:val="28"/>
          <w:lang w:val="ru-RU"/>
        </w:rPr>
        <w:t>20</w:t>
      </w:r>
      <w:r w:rsidR="00E578C7" w:rsidRPr="00150D48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10</w:t>
      </w:r>
      <w:r w:rsidR="006869EB" w:rsidRPr="00150D48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.</w:t>
      </w:r>
      <w:r w:rsidRPr="00150D48">
        <w:rPr>
          <w:rFonts w:ascii="Tahoma" w:hAnsi="Tahoma" w:cs="Tahoma"/>
          <w:b/>
          <w:bCs/>
          <w:spacing w:val="-4"/>
          <w:sz w:val="28"/>
          <w:szCs w:val="28"/>
          <w:lang w:val="hr-HR"/>
        </w:rPr>
        <w:t xml:space="preserve">) </w:t>
      </w:r>
      <w:r w:rsidR="00AC5FA4" w:rsidRPr="00150D48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већи</w:t>
      </w:r>
      <w:r w:rsidRPr="00150D48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 xml:space="preserve"> </w:t>
      </w:r>
      <w:r w:rsidR="000D03D6" w:rsidRPr="00150D48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12</w:t>
      </w:r>
      <w:r w:rsidRPr="00150D48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>,</w:t>
      </w:r>
      <w:r w:rsidR="00554EB1" w:rsidRPr="00150D48">
        <w:rPr>
          <w:rFonts w:ascii="Tahoma" w:hAnsi="Tahoma" w:cs="Tahoma"/>
          <w:b/>
          <w:bCs/>
          <w:spacing w:val="-4"/>
          <w:sz w:val="28"/>
          <w:szCs w:val="28"/>
        </w:rPr>
        <w:t>8</w:t>
      </w:r>
      <w:r w:rsidRPr="00150D48">
        <w:rPr>
          <w:rFonts w:ascii="Tahoma" w:hAnsi="Tahoma" w:cs="Tahoma"/>
          <w:b/>
          <w:spacing w:val="-4"/>
          <w:sz w:val="28"/>
          <w:szCs w:val="28"/>
          <w:lang w:val="ru-RU"/>
        </w:rPr>
        <w:t>%</w:t>
      </w:r>
    </w:p>
    <w:p w:rsidR="005E0301" w:rsidRPr="00150D48" w:rsidRDefault="005E0301" w:rsidP="0020048F">
      <w:pPr>
        <w:tabs>
          <w:tab w:val="left" w:pos="0"/>
          <w:tab w:val="left" w:pos="1100"/>
        </w:tabs>
        <w:jc w:val="both"/>
        <w:rPr>
          <w:rFonts w:ascii="Tahoma" w:hAnsi="Tahoma" w:cs="Tahoma"/>
          <w:sz w:val="24"/>
          <w:szCs w:val="24"/>
          <w:lang w:val="sr-Cyrl-CS"/>
        </w:rPr>
      </w:pPr>
      <w:r w:rsidRPr="00150D48">
        <w:rPr>
          <w:rFonts w:ascii="Tahoma" w:hAnsi="Tahoma" w:cs="Tahoma"/>
          <w:sz w:val="24"/>
          <w:szCs w:val="24"/>
          <w:lang w:val="ru-RU"/>
        </w:rPr>
        <w:t>Индекс запослених у индустрији</w:t>
      </w:r>
      <w:r w:rsidRPr="00150D48">
        <w:rPr>
          <w:rFonts w:ascii="Tahoma" w:hAnsi="Tahoma" w:cs="Tahoma"/>
          <w:sz w:val="24"/>
          <w:szCs w:val="24"/>
          <w:lang w:val="sr-Latn-BA"/>
        </w:rPr>
        <w:t xml:space="preserve"> (</w:t>
      </w:r>
      <w:r w:rsidR="00EA3F27" w:rsidRPr="00150D48">
        <w:rPr>
          <w:rFonts w:ascii="Tahoma" w:hAnsi="Tahoma" w:cs="Tahoma"/>
          <w:sz w:val="24"/>
          <w:szCs w:val="24"/>
          <w:lang w:val="sr-Cyrl-CS"/>
        </w:rPr>
        <w:t>Х</w:t>
      </w:r>
      <w:r w:rsidR="00D15ED3" w:rsidRPr="00150D48">
        <w:rPr>
          <w:rFonts w:ascii="Tahoma" w:hAnsi="Tahoma" w:cs="Tahoma"/>
          <w:sz w:val="24"/>
          <w:szCs w:val="24"/>
        </w:rPr>
        <w:t>I</w:t>
      </w:r>
      <w:r w:rsidRPr="00150D48">
        <w:rPr>
          <w:rFonts w:ascii="Tahoma" w:hAnsi="Tahoma" w:cs="Tahoma"/>
          <w:sz w:val="24"/>
          <w:szCs w:val="24"/>
          <w:lang w:val="sr-Latn-BA"/>
        </w:rPr>
        <w:t xml:space="preserve"> 20</w:t>
      </w:r>
      <w:r w:rsidRPr="00150D48">
        <w:rPr>
          <w:rFonts w:ascii="Tahoma" w:hAnsi="Tahoma" w:cs="Tahoma"/>
          <w:sz w:val="24"/>
          <w:szCs w:val="24"/>
          <w:lang w:val="sr-Cyrl-CS"/>
        </w:rPr>
        <w:t>1</w:t>
      </w:r>
      <w:r w:rsidR="001A026F" w:rsidRPr="00150D48">
        <w:rPr>
          <w:rFonts w:ascii="Tahoma" w:hAnsi="Tahoma" w:cs="Tahoma"/>
          <w:sz w:val="24"/>
          <w:szCs w:val="24"/>
          <w:lang w:val="sr-Cyrl-CS"/>
        </w:rPr>
        <w:t>1</w:t>
      </w:r>
      <w:r w:rsidRPr="00150D48">
        <w:rPr>
          <w:rFonts w:ascii="Tahoma" w:hAnsi="Tahoma" w:cs="Tahoma"/>
          <w:sz w:val="24"/>
          <w:szCs w:val="24"/>
          <w:lang w:val="sr-Latn-BA"/>
        </w:rPr>
        <w:t>/</w:t>
      </w:r>
      <w:r w:rsidRPr="00150D48">
        <w:rPr>
          <w:rFonts w:ascii="Tahoma" w:hAnsi="Tahoma" w:cs="Tahoma"/>
          <w:bCs/>
          <w:sz w:val="24"/>
          <w:szCs w:val="24"/>
        </w:rPr>
        <w:sym w:font="Symbol" w:char="F0C6"/>
      </w:r>
      <w:r w:rsidRPr="00150D48">
        <w:rPr>
          <w:rFonts w:ascii="Tahoma" w:hAnsi="Tahoma" w:cs="Tahoma"/>
          <w:bCs/>
          <w:sz w:val="24"/>
          <w:szCs w:val="24"/>
          <w:lang w:val="sr-Cyrl-CS"/>
        </w:rPr>
        <w:t xml:space="preserve"> </w:t>
      </w:r>
      <w:r w:rsidRPr="00150D48">
        <w:rPr>
          <w:rFonts w:ascii="Tahoma" w:hAnsi="Tahoma" w:cs="Tahoma"/>
          <w:bCs/>
          <w:sz w:val="24"/>
          <w:szCs w:val="24"/>
          <w:lang w:val="ru-RU"/>
        </w:rPr>
        <w:t>20</w:t>
      </w:r>
      <w:r w:rsidR="001A026F" w:rsidRPr="00150D48">
        <w:rPr>
          <w:rFonts w:ascii="Tahoma" w:hAnsi="Tahoma" w:cs="Tahoma"/>
          <w:bCs/>
          <w:sz w:val="24"/>
          <w:szCs w:val="24"/>
          <w:lang w:val="ru-RU"/>
        </w:rPr>
        <w:t>1</w:t>
      </w:r>
      <w:r w:rsidRPr="00150D48">
        <w:rPr>
          <w:rFonts w:ascii="Tahoma" w:hAnsi="Tahoma" w:cs="Tahoma"/>
          <w:bCs/>
          <w:sz w:val="24"/>
          <w:szCs w:val="24"/>
          <w:lang w:val="ru-RU"/>
        </w:rPr>
        <w:t>0</w:t>
      </w:r>
      <w:r w:rsidR="006869EB" w:rsidRPr="00150D48">
        <w:rPr>
          <w:rFonts w:ascii="Tahoma" w:hAnsi="Tahoma" w:cs="Tahoma"/>
          <w:bCs/>
          <w:sz w:val="24"/>
          <w:szCs w:val="24"/>
          <w:lang w:val="ru-RU"/>
        </w:rPr>
        <w:t>.</w:t>
      </w:r>
      <w:r w:rsidRPr="00150D48">
        <w:rPr>
          <w:rFonts w:ascii="Tahoma" w:hAnsi="Tahoma" w:cs="Tahoma"/>
          <w:bCs/>
          <w:sz w:val="24"/>
          <w:szCs w:val="24"/>
          <w:lang w:val="hr-HR"/>
        </w:rPr>
        <w:t>)</w:t>
      </w:r>
      <w:r w:rsidRPr="00150D48">
        <w:rPr>
          <w:rFonts w:ascii="Tahoma" w:hAnsi="Tahoma" w:cs="Tahoma"/>
          <w:sz w:val="24"/>
          <w:szCs w:val="24"/>
          <w:lang w:val="sr-Latn-BA"/>
        </w:rPr>
        <w:t xml:space="preserve"> </w:t>
      </w:r>
      <w:r w:rsidRPr="00150D48">
        <w:rPr>
          <w:rFonts w:ascii="Tahoma" w:hAnsi="Tahoma" w:cs="Tahoma"/>
          <w:sz w:val="24"/>
          <w:szCs w:val="24"/>
          <w:lang w:val="ru-RU"/>
        </w:rPr>
        <w:t xml:space="preserve">мањи </w:t>
      </w:r>
      <w:r w:rsidR="00D15ED3" w:rsidRPr="00150D48">
        <w:rPr>
          <w:rFonts w:ascii="Tahoma" w:hAnsi="Tahoma" w:cs="Tahoma"/>
          <w:sz w:val="24"/>
          <w:szCs w:val="24"/>
        </w:rPr>
        <w:t>3</w:t>
      </w:r>
      <w:r w:rsidRPr="00150D48">
        <w:rPr>
          <w:rFonts w:ascii="Tahoma" w:hAnsi="Tahoma" w:cs="Tahoma"/>
          <w:sz w:val="24"/>
          <w:szCs w:val="24"/>
          <w:lang w:val="sr-Cyrl-BA"/>
        </w:rPr>
        <w:t>,</w:t>
      </w:r>
      <w:r w:rsidR="00D15ED3" w:rsidRPr="00150D48">
        <w:rPr>
          <w:rFonts w:ascii="Tahoma" w:hAnsi="Tahoma" w:cs="Tahoma"/>
          <w:sz w:val="24"/>
          <w:szCs w:val="24"/>
        </w:rPr>
        <w:t>6</w:t>
      </w:r>
      <w:r w:rsidRPr="00150D48">
        <w:rPr>
          <w:rFonts w:ascii="Tahoma" w:hAnsi="Tahoma" w:cs="Tahoma"/>
          <w:sz w:val="24"/>
          <w:szCs w:val="24"/>
          <w:lang w:val="ru-RU"/>
        </w:rPr>
        <w:t>%</w:t>
      </w:r>
    </w:p>
    <w:p w:rsidR="005E0301" w:rsidRPr="00150D48" w:rsidRDefault="005E0301" w:rsidP="0020048F">
      <w:pPr>
        <w:tabs>
          <w:tab w:val="left" w:pos="0"/>
          <w:tab w:val="left" w:pos="1100"/>
        </w:tabs>
        <w:jc w:val="both"/>
        <w:rPr>
          <w:lang w:val="sr-Cyrl-CS"/>
        </w:rPr>
      </w:pPr>
    </w:p>
    <w:p w:rsidR="005E0301" w:rsidRPr="00150D48" w:rsidRDefault="00903A70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150D48">
        <w:rPr>
          <w:rFonts w:ascii="Tahoma" w:hAnsi="Tahoma" w:cs="Tahoma"/>
          <w:b/>
          <w:sz w:val="18"/>
          <w:szCs w:val="18"/>
          <w:lang w:val="sr-Cyrl-CS"/>
        </w:rPr>
        <w:t>И</w:t>
      </w:r>
      <w:r w:rsidR="005E0301" w:rsidRPr="00150D48">
        <w:rPr>
          <w:rFonts w:ascii="Tahoma" w:hAnsi="Tahoma" w:cs="Tahoma"/>
          <w:b/>
          <w:sz w:val="18"/>
          <w:szCs w:val="18"/>
          <w:lang w:val="ru-RU"/>
        </w:rPr>
        <w:t>ндустријск</w:t>
      </w:r>
      <w:r w:rsidRPr="00150D48">
        <w:rPr>
          <w:rFonts w:ascii="Tahoma" w:hAnsi="Tahoma" w:cs="Tahoma"/>
          <w:b/>
          <w:sz w:val="18"/>
          <w:szCs w:val="18"/>
          <w:lang w:val="ru-RU"/>
        </w:rPr>
        <w:t>а</w:t>
      </w:r>
      <w:r w:rsidR="005E0301" w:rsidRPr="00150D48">
        <w:rPr>
          <w:rFonts w:ascii="Tahoma" w:hAnsi="Tahoma" w:cs="Tahoma"/>
          <w:b/>
          <w:sz w:val="18"/>
          <w:szCs w:val="18"/>
          <w:lang w:val="ru-RU"/>
        </w:rPr>
        <w:t xml:space="preserve"> производњ</w:t>
      </w:r>
      <w:r w:rsidRPr="00150D48">
        <w:rPr>
          <w:rFonts w:ascii="Tahoma" w:hAnsi="Tahoma" w:cs="Tahoma"/>
          <w:b/>
          <w:sz w:val="18"/>
          <w:szCs w:val="18"/>
          <w:lang w:val="ru-RU"/>
        </w:rPr>
        <w:t>а</w:t>
      </w:r>
      <w:r w:rsidR="005E0301" w:rsidRPr="00150D48">
        <w:rPr>
          <w:rFonts w:ascii="Tahoma" w:hAnsi="Tahoma" w:cs="Tahoma"/>
          <w:sz w:val="18"/>
          <w:szCs w:val="18"/>
          <w:lang w:val="ru-RU"/>
        </w:rPr>
        <w:t xml:space="preserve"> остварен</w:t>
      </w:r>
      <w:r w:rsidRPr="00150D48">
        <w:rPr>
          <w:rFonts w:ascii="Tahoma" w:hAnsi="Tahoma" w:cs="Tahoma"/>
          <w:sz w:val="18"/>
          <w:szCs w:val="18"/>
          <w:lang w:val="ru-RU"/>
        </w:rPr>
        <w:t>а</w:t>
      </w:r>
      <w:r w:rsidR="005E0301" w:rsidRPr="00150D48">
        <w:rPr>
          <w:rFonts w:ascii="Tahoma" w:hAnsi="Tahoma" w:cs="Tahoma"/>
          <w:sz w:val="18"/>
          <w:szCs w:val="18"/>
          <w:lang w:val="ru-RU"/>
        </w:rPr>
        <w:t xml:space="preserve"> у </w:t>
      </w:r>
      <w:r w:rsidR="000D03D6" w:rsidRPr="00150D48">
        <w:rPr>
          <w:rFonts w:ascii="Tahoma" w:hAnsi="Tahoma" w:cs="Tahoma"/>
          <w:sz w:val="18"/>
          <w:szCs w:val="18"/>
          <w:lang w:val="sr-Cyrl-CS"/>
        </w:rPr>
        <w:t>новембру</w:t>
      </w:r>
      <w:r w:rsidR="005E0301" w:rsidRPr="00150D48">
        <w:rPr>
          <w:rFonts w:ascii="Tahoma" w:hAnsi="Tahoma" w:cs="Tahoma"/>
          <w:sz w:val="18"/>
          <w:szCs w:val="18"/>
          <w:lang w:val="ru-RU"/>
        </w:rPr>
        <w:t xml:space="preserve"> 201</w:t>
      </w:r>
      <w:r w:rsidR="00E578C7" w:rsidRPr="00150D48">
        <w:rPr>
          <w:rFonts w:ascii="Tahoma" w:hAnsi="Tahoma" w:cs="Tahoma"/>
          <w:sz w:val="18"/>
          <w:szCs w:val="18"/>
          <w:lang w:val="ru-RU"/>
        </w:rPr>
        <w:t>1</w:t>
      </w:r>
      <w:r w:rsidR="005E0301" w:rsidRPr="00150D48">
        <w:rPr>
          <w:rFonts w:ascii="Tahoma" w:hAnsi="Tahoma" w:cs="Tahoma"/>
          <w:sz w:val="18"/>
          <w:szCs w:val="18"/>
          <w:lang w:val="ru-RU"/>
        </w:rPr>
        <w:t xml:space="preserve">. године у односу на </w:t>
      </w:r>
      <w:r w:rsidR="00554EB1" w:rsidRPr="00150D48">
        <w:rPr>
          <w:rFonts w:ascii="Tahoma" w:hAnsi="Tahoma" w:cs="Tahoma"/>
          <w:sz w:val="18"/>
          <w:szCs w:val="18"/>
          <w:lang w:val="ru-RU"/>
        </w:rPr>
        <w:t>просјечну мјесечну производњу из 2010. године</w:t>
      </w:r>
      <w:r w:rsidR="00554EB1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AC5FA4" w:rsidRPr="00150D48">
        <w:rPr>
          <w:rFonts w:ascii="Tahoma" w:hAnsi="Tahoma" w:cs="Tahoma"/>
          <w:sz w:val="18"/>
          <w:szCs w:val="18"/>
          <w:lang w:val="ru-RU"/>
        </w:rPr>
        <w:t>већ</w:t>
      </w:r>
      <w:r w:rsidRPr="00150D48">
        <w:rPr>
          <w:rFonts w:ascii="Tahoma" w:hAnsi="Tahoma" w:cs="Tahoma"/>
          <w:sz w:val="18"/>
          <w:szCs w:val="18"/>
          <w:lang w:val="ru-RU"/>
        </w:rPr>
        <w:t>а</w:t>
      </w:r>
      <w:r w:rsidR="005E0301" w:rsidRPr="00150D48">
        <w:rPr>
          <w:rFonts w:ascii="Tahoma" w:hAnsi="Tahoma" w:cs="Tahoma"/>
          <w:sz w:val="18"/>
          <w:szCs w:val="18"/>
          <w:lang w:val="ru-RU"/>
        </w:rPr>
        <w:t xml:space="preserve"> је за </w:t>
      </w:r>
      <w:r w:rsidR="000D03D6" w:rsidRPr="00150D48">
        <w:rPr>
          <w:rFonts w:ascii="Tahoma" w:hAnsi="Tahoma" w:cs="Tahoma"/>
          <w:sz w:val="18"/>
          <w:szCs w:val="18"/>
          <w:lang w:val="ru-RU"/>
        </w:rPr>
        <w:t>12</w:t>
      </w:r>
      <w:r w:rsidR="005E0301" w:rsidRPr="00150D48">
        <w:rPr>
          <w:rFonts w:ascii="Tahoma" w:hAnsi="Tahoma" w:cs="Tahoma"/>
          <w:sz w:val="18"/>
          <w:szCs w:val="18"/>
          <w:lang w:val="ru-RU"/>
        </w:rPr>
        <w:t>,</w:t>
      </w:r>
      <w:r w:rsidR="00554EB1" w:rsidRPr="00150D48">
        <w:rPr>
          <w:rFonts w:ascii="Tahoma" w:hAnsi="Tahoma" w:cs="Tahoma"/>
          <w:sz w:val="18"/>
          <w:szCs w:val="18"/>
          <w:lang w:val="ru-RU"/>
        </w:rPr>
        <w:t>8</w:t>
      </w:r>
      <w:r w:rsidR="005E0301" w:rsidRPr="00150D48">
        <w:rPr>
          <w:rFonts w:ascii="Tahoma" w:hAnsi="Tahoma" w:cs="Tahoma"/>
          <w:sz w:val="18"/>
          <w:szCs w:val="18"/>
          <w:lang w:val="ru-RU"/>
        </w:rPr>
        <w:t>%</w:t>
      </w:r>
      <w:r w:rsidR="008E6F6E" w:rsidRPr="00150D48">
        <w:rPr>
          <w:rFonts w:ascii="Tahoma" w:hAnsi="Tahoma" w:cs="Tahoma"/>
          <w:sz w:val="18"/>
          <w:szCs w:val="18"/>
          <w:lang w:val="ru-RU"/>
        </w:rPr>
        <w:t xml:space="preserve">, у односу на </w:t>
      </w:r>
      <w:r w:rsidR="00554EB1" w:rsidRPr="00150D48">
        <w:rPr>
          <w:rFonts w:ascii="Tahoma" w:hAnsi="Tahoma" w:cs="Tahoma"/>
          <w:sz w:val="18"/>
          <w:szCs w:val="18"/>
          <w:lang w:val="ru-RU"/>
        </w:rPr>
        <w:t>претходни мјесец текуће године</w:t>
      </w:r>
      <w:r w:rsidR="00554EB1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AC5FA4" w:rsidRPr="00150D48">
        <w:rPr>
          <w:rFonts w:ascii="Tahoma" w:hAnsi="Tahoma" w:cs="Tahoma"/>
          <w:sz w:val="18"/>
          <w:szCs w:val="18"/>
          <w:lang w:val="sr-Cyrl-BA"/>
        </w:rPr>
        <w:t>већ</w:t>
      </w:r>
      <w:r w:rsidRPr="00150D48">
        <w:rPr>
          <w:rFonts w:ascii="Tahoma" w:hAnsi="Tahoma" w:cs="Tahoma"/>
          <w:sz w:val="18"/>
          <w:szCs w:val="18"/>
          <w:lang w:val="sr-Cyrl-BA"/>
        </w:rPr>
        <w:t>а</w:t>
      </w:r>
      <w:r w:rsidR="008E6F6E" w:rsidRPr="00150D48">
        <w:rPr>
          <w:rFonts w:ascii="Tahoma" w:hAnsi="Tahoma" w:cs="Tahoma"/>
          <w:sz w:val="18"/>
          <w:szCs w:val="18"/>
          <w:lang w:val="ru-RU"/>
        </w:rPr>
        <w:t xml:space="preserve"> је за </w:t>
      </w:r>
      <w:r w:rsidR="000D03D6" w:rsidRPr="00150D48">
        <w:rPr>
          <w:rFonts w:ascii="Tahoma" w:hAnsi="Tahoma" w:cs="Tahoma"/>
          <w:sz w:val="18"/>
          <w:szCs w:val="18"/>
          <w:lang w:val="ru-RU"/>
        </w:rPr>
        <w:t>1</w:t>
      </w:r>
      <w:r w:rsidR="008E6F6E" w:rsidRPr="00150D48">
        <w:rPr>
          <w:rFonts w:ascii="Tahoma" w:hAnsi="Tahoma" w:cs="Tahoma"/>
          <w:sz w:val="18"/>
          <w:szCs w:val="18"/>
          <w:lang w:val="ru-RU"/>
        </w:rPr>
        <w:t>,</w:t>
      </w:r>
      <w:r w:rsidR="000D03D6" w:rsidRPr="00150D48">
        <w:rPr>
          <w:rFonts w:ascii="Tahoma" w:hAnsi="Tahoma" w:cs="Tahoma"/>
          <w:sz w:val="18"/>
          <w:szCs w:val="18"/>
          <w:lang w:val="ru-RU"/>
        </w:rPr>
        <w:t>9</w:t>
      </w:r>
      <w:r w:rsidR="008E6F6E" w:rsidRPr="00150D48">
        <w:rPr>
          <w:rFonts w:ascii="Tahoma" w:hAnsi="Tahoma" w:cs="Tahoma"/>
          <w:sz w:val="18"/>
          <w:szCs w:val="18"/>
          <w:lang w:val="ru-RU"/>
        </w:rPr>
        <w:t>%</w:t>
      </w:r>
      <w:r w:rsidR="000D03D6" w:rsidRPr="00150D48">
        <w:rPr>
          <w:rFonts w:ascii="Tahoma" w:hAnsi="Tahoma" w:cs="Tahoma"/>
          <w:sz w:val="18"/>
          <w:szCs w:val="18"/>
          <w:lang w:val="ru-RU"/>
        </w:rPr>
        <w:t>, док је</w:t>
      </w:r>
      <w:r w:rsidR="00621277" w:rsidRPr="00150D48">
        <w:rPr>
          <w:rFonts w:ascii="Tahoma" w:hAnsi="Tahoma" w:cs="Tahoma"/>
          <w:sz w:val="18"/>
          <w:szCs w:val="18"/>
          <w:lang w:val="ru-RU"/>
        </w:rPr>
        <w:t xml:space="preserve"> у односу на </w:t>
      </w:r>
      <w:r w:rsidR="00554EB1" w:rsidRPr="00150D48">
        <w:rPr>
          <w:rFonts w:ascii="Tahoma" w:hAnsi="Tahoma" w:cs="Tahoma"/>
          <w:sz w:val="18"/>
          <w:szCs w:val="18"/>
          <w:lang w:val="ru-RU"/>
        </w:rPr>
        <w:t>исти мјесец прошле године</w:t>
      </w:r>
      <w:r w:rsidR="00554EB1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0D03D6" w:rsidRPr="00150D48">
        <w:rPr>
          <w:rFonts w:ascii="Tahoma" w:hAnsi="Tahoma" w:cs="Tahoma"/>
          <w:sz w:val="18"/>
          <w:szCs w:val="18"/>
          <w:lang w:val="sr-Cyrl-BA"/>
        </w:rPr>
        <w:t xml:space="preserve">мања </w:t>
      </w:r>
      <w:r w:rsidR="00621277" w:rsidRPr="00150D48">
        <w:rPr>
          <w:rFonts w:ascii="Tahoma" w:hAnsi="Tahoma" w:cs="Tahoma"/>
          <w:sz w:val="18"/>
          <w:szCs w:val="18"/>
          <w:lang w:val="ru-RU"/>
        </w:rPr>
        <w:t xml:space="preserve">за </w:t>
      </w:r>
      <w:r w:rsidR="000D03D6" w:rsidRPr="00150D48">
        <w:rPr>
          <w:rFonts w:ascii="Tahoma" w:hAnsi="Tahoma" w:cs="Tahoma"/>
          <w:sz w:val="18"/>
          <w:szCs w:val="18"/>
          <w:lang w:val="ru-RU"/>
        </w:rPr>
        <w:t>0</w:t>
      </w:r>
      <w:r w:rsidR="00621277" w:rsidRPr="00150D48">
        <w:rPr>
          <w:rFonts w:ascii="Tahoma" w:hAnsi="Tahoma" w:cs="Tahoma"/>
          <w:sz w:val="18"/>
          <w:szCs w:val="18"/>
          <w:lang w:val="ru-RU"/>
        </w:rPr>
        <w:t>,</w:t>
      </w:r>
      <w:r w:rsidR="000D03D6" w:rsidRPr="00150D48">
        <w:rPr>
          <w:rFonts w:ascii="Tahoma" w:hAnsi="Tahoma" w:cs="Tahoma"/>
          <w:sz w:val="18"/>
          <w:szCs w:val="18"/>
          <w:lang w:val="ru-RU"/>
        </w:rPr>
        <w:t>4</w:t>
      </w:r>
      <w:r w:rsidR="00621277" w:rsidRPr="00150D48">
        <w:rPr>
          <w:rFonts w:ascii="Tahoma" w:hAnsi="Tahoma" w:cs="Tahoma"/>
          <w:sz w:val="18"/>
          <w:szCs w:val="18"/>
          <w:lang w:val="ru-RU"/>
        </w:rPr>
        <w:t>%.</w:t>
      </w:r>
    </w:p>
    <w:p w:rsidR="00C42F94" w:rsidRPr="00150D48" w:rsidRDefault="00C42F94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C42F94" w:rsidRPr="00150D48" w:rsidRDefault="00903A70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 w:rsidRPr="00150D48">
        <w:rPr>
          <w:rFonts w:ascii="Tahoma" w:hAnsi="Tahoma" w:cs="Tahoma"/>
          <w:sz w:val="18"/>
          <w:szCs w:val="18"/>
          <w:lang w:val="sr-Cyrl-BA"/>
        </w:rPr>
        <w:t>И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>ндустријск</w:t>
      </w:r>
      <w:r w:rsidRPr="00150D48">
        <w:rPr>
          <w:rFonts w:ascii="Tahoma" w:hAnsi="Tahoma" w:cs="Tahoma"/>
          <w:sz w:val="18"/>
          <w:szCs w:val="18"/>
          <w:lang w:val="sr-Cyrl-BA"/>
        </w:rPr>
        <w:t>а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 xml:space="preserve"> производњ</w:t>
      </w:r>
      <w:r w:rsidRPr="00150D48">
        <w:rPr>
          <w:rFonts w:ascii="Tahoma" w:hAnsi="Tahoma" w:cs="Tahoma"/>
          <w:sz w:val="18"/>
          <w:szCs w:val="18"/>
          <w:lang w:val="sr-Cyrl-BA"/>
        </w:rPr>
        <w:t>а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 xml:space="preserve"> остварен</w:t>
      </w:r>
      <w:r w:rsidRPr="00150D48">
        <w:rPr>
          <w:rFonts w:ascii="Tahoma" w:hAnsi="Tahoma" w:cs="Tahoma"/>
          <w:sz w:val="18"/>
          <w:szCs w:val="18"/>
          <w:lang w:val="sr-Cyrl-BA"/>
        </w:rPr>
        <w:t>а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 xml:space="preserve"> у периоду јануар</w:t>
      </w:r>
      <w:r w:rsidR="00AC5FA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>-</w:t>
      </w:r>
      <w:r w:rsidR="00AC5FA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0D03D6" w:rsidRPr="00150D48">
        <w:rPr>
          <w:rFonts w:ascii="Tahoma" w:hAnsi="Tahoma" w:cs="Tahoma"/>
          <w:sz w:val="18"/>
          <w:szCs w:val="18"/>
          <w:lang w:val="sr-Cyrl-BA"/>
        </w:rPr>
        <w:t>новембар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 xml:space="preserve"> 2011. године у односу на исти период </w:t>
      </w:r>
      <w:r w:rsidR="008E6F6E" w:rsidRPr="00150D48">
        <w:rPr>
          <w:rFonts w:ascii="Tahoma" w:hAnsi="Tahoma" w:cs="Tahoma"/>
          <w:sz w:val="18"/>
          <w:szCs w:val="18"/>
          <w:lang w:val="ru-RU"/>
        </w:rPr>
        <w:t>прошле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 xml:space="preserve"> године већ</w:t>
      </w:r>
      <w:r w:rsidRPr="00150D48">
        <w:rPr>
          <w:rFonts w:ascii="Tahoma" w:hAnsi="Tahoma" w:cs="Tahoma"/>
          <w:sz w:val="18"/>
          <w:szCs w:val="18"/>
          <w:lang w:val="sr-Cyrl-BA"/>
        </w:rPr>
        <w:t>а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 xml:space="preserve"> је за </w:t>
      </w:r>
      <w:r w:rsidR="000D03D6" w:rsidRPr="00150D48">
        <w:rPr>
          <w:rFonts w:ascii="Tahoma" w:hAnsi="Tahoma" w:cs="Tahoma"/>
          <w:sz w:val="18"/>
          <w:szCs w:val="18"/>
          <w:lang w:val="sr-Cyrl-BA"/>
        </w:rPr>
        <w:t>5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>,</w:t>
      </w:r>
      <w:r w:rsidR="000D03D6" w:rsidRPr="00150D48">
        <w:rPr>
          <w:rFonts w:ascii="Tahoma" w:hAnsi="Tahoma" w:cs="Tahoma"/>
          <w:sz w:val="18"/>
          <w:szCs w:val="18"/>
          <w:lang w:val="sr-Cyrl-BA"/>
        </w:rPr>
        <w:t>9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 xml:space="preserve">%. У истом периоду </w:t>
      </w:r>
      <w:r w:rsidR="00C42F94" w:rsidRPr="00150D48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="00C42F94" w:rsidRPr="00150D48">
        <w:rPr>
          <w:rFonts w:ascii="Tahoma" w:hAnsi="Tahoma" w:cs="Tahoma"/>
          <w:sz w:val="18"/>
          <w:szCs w:val="18"/>
          <w:lang w:val="ru-RU"/>
        </w:rPr>
        <w:t>подручју</w:t>
      </w:r>
      <w:r w:rsidR="00C42F94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C42F94" w:rsidRPr="00150D48">
        <w:rPr>
          <w:rFonts w:ascii="Tahoma" w:hAnsi="Tahoma" w:cs="Tahoma"/>
          <w:i/>
          <w:sz w:val="18"/>
          <w:szCs w:val="18"/>
          <w:lang w:val="sr-Cyrl-CS"/>
        </w:rPr>
        <w:t xml:space="preserve">Вађење руда и камена </w:t>
      </w:r>
      <w:r w:rsidR="00C42F94" w:rsidRPr="00150D48">
        <w:rPr>
          <w:rFonts w:ascii="Tahoma" w:hAnsi="Tahoma" w:cs="Tahoma"/>
          <w:sz w:val="18"/>
          <w:szCs w:val="18"/>
          <w:lang w:val="sr-Cyrl-CS"/>
        </w:rPr>
        <w:t xml:space="preserve"> забиљежена је позитивна стопа промјене од </w:t>
      </w:r>
      <w:r w:rsidR="000D03D6" w:rsidRPr="00150D48">
        <w:rPr>
          <w:rFonts w:ascii="Tahoma" w:hAnsi="Tahoma" w:cs="Tahoma"/>
          <w:sz w:val="18"/>
          <w:szCs w:val="18"/>
          <w:lang w:val="sr-Cyrl-CS"/>
        </w:rPr>
        <w:t>20</w:t>
      </w:r>
      <w:r w:rsidR="00C42F94" w:rsidRPr="00150D48">
        <w:rPr>
          <w:rFonts w:ascii="Tahoma" w:hAnsi="Tahoma" w:cs="Tahoma"/>
          <w:sz w:val="18"/>
          <w:szCs w:val="18"/>
          <w:lang w:val="sr-Cyrl-CS"/>
        </w:rPr>
        <w:t>,</w:t>
      </w:r>
      <w:r w:rsidR="000D03D6" w:rsidRPr="00150D48">
        <w:rPr>
          <w:rFonts w:ascii="Tahoma" w:hAnsi="Tahoma" w:cs="Tahoma"/>
          <w:sz w:val="18"/>
          <w:szCs w:val="18"/>
          <w:lang w:val="sr-Cyrl-CS"/>
        </w:rPr>
        <w:t>2</w:t>
      </w:r>
      <w:r w:rsidR="00C42F94" w:rsidRPr="00150D48">
        <w:rPr>
          <w:rFonts w:ascii="Tahoma" w:hAnsi="Tahoma" w:cs="Tahoma"/>
          <w:sz w:val="18"/>
          <w:szCs w:val="18"/>
          <w:lang w:val="ru-RU"/>
        </w:rPr>
        <w:t>%</w:t>
      </w:r>
      <w:r w:rsidR="00715D3A" w:rsidRPr="00150D48">
        <w:rPr>
          <w:rFonts w:ascii="Tahoma" w:hAnsi="Tahoma" w:cs="Tahoma"/>
          <w:sz w:val="18"/>
          <w:szCs w:val="18"/>
          <w:lang w:val="ru-RU"/>
        </w:rPr>
        <w:t>,</w:t>
      </w:r>
      <w:r w:rsidR="00C42F94" w:rsidRPr="00150D48">
        <w:rPr>
          <w:rFonts w:ascii="Tahoma" w:hAnsi="Tahoma" w:cs="Tahoma"/>
          <w:sz w:val="18"/>
          <w:szCs w:val="18"/>
          <w:lang w:val="ru-RU"/>
        </w:rPr>
        <w:t xml:space="preserve"> у подручју </w:t>
      </w:r>
      <w:r w:rsidR="00C42F94" w:rsidRPr="00150D48">
        <w:rPr>
          <w:rFonts w:ascii="Tahoma" w:hAnsi="Tahoma" w:cs="Tahoma"/>
          <w:i/>
          <w:sz w:val="18"/>
          <w:szCs w:val="18"/>
          <w:lang w:val="ru-RU"/>
        </w:rPr>
        <w:t>Прерађивачка индустрија</w:t>
      </w:r>
      <w:r w:rsidR="00C42F94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 w:rsidR="00C42F94" w:rsidRPr="00150D48">
        <w:rPr>
          <w:rFonts w:ascii="Tahoma" w:hAnsi="Tahoma" w:cs="Tahoma"/>
          <w:sz w:val="18"/>
          <w:szCs w:val="18"/>
          <w:lang w:val="sr-Cyrl-CS"/>
        </w:rPr>
        <w:t xml:space="preserve">позитивна стопа промјене </w:t>
      </w:r>
      <w:r w:rsidR="00C42F94" w:rsidRPr="00150D48">
        <w:rPr>
          <w:rFonts w:ascii="Tahoma" w:hAnsi="Tahoma" w:cs="Tahoma"/>
          <w:sz w:val="18"/>
          <w:szCs w:val="18"/>
          <w:lang w:val="ru-RU"/>
        </w:rPr>
        <w:t xml:space="preserve">од </w:t>
      </w:r>
      <w:r w:rsidR="00554EB1" w:rsidRPr="00150D48">
        <w:rPr>
          <w:rFonts w:ascii="Tahoma" w:hAnsi="Tahoma" w:cs="Tahoma"/>
          <w:sz w:val="18"/>
          <w:szCs w:val="18"/>
          <w:lang w:val="ru-RU"/>
        </w:rPr>
        <w:t>4</w:t>
      </w:r>
      <w:r w:rsidR="00C42F94" w:rsidRPr="00150D48">
        <w:rPr>
          <w:rFonts w:ascii="Tahoma" w:hAnsi="Tahoma" w:cs="Tahoma"/>
          <w:sz w:val="18"/>
          <w:szCs w:val="18"/>
          <w:lang w:val="ru-RU"/>
        </w:rPr>
        <w:t>,</w:t>
      </w:r>
      <w:r w:rsidR="000D03D6" w:rsidRPr="00150D48">
        <w:rPr>
          <w:rFonts w:ascii="Tahoma" w:hAnsi="Tahoma" w:cs="Tahoma"/>
          <w:sz w:val="18"/>
          <w:szCs w:val="18"/>
          <w:lang w:val="ru-RU"/>
        </w:rPr>
        <w:t>2</w:t>
      </w:r>
      <w:r w:rsidR="00715D3A" w:rsidRPr="00150D48">
        <w:rPr>
          <w:rFonts w:ascii="Tahoma" w:hAnsi="Tahoma" w:cs="Tahoma"/>
          <w:sz w:val="18"/>
          <w:szCs w:val="18"/>
          <w:lang w:val="ru-RU"/>
        </w:rPr>
        <w:t>% и</w:t>
      </w:r>
      <w:r w:rsidR="00C42F94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 w:rsidR="00C42F94" w:rsidRPr="00150D48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="00C42F94" w:rsidRPr="00150D48">
        <w:rPr>
          <w:rFonts w:ascii="Tahoma" w:hAnsi="Tahoma" w:cs="Tahoma"/>
          <w:sz w:val="18"/>
          <w:szCs w:val="18"/>
          <w:lang w:val="ru-RU"/>
        </w:rPr>
        <w:t xml:space="preserve">подручју </w:t>
      </w:r>
      <w:r w:rsidR="00C42F94" w:rsidRPr="00150D48">
        <w:rPr>
          <w:rFonts w:ascii="Tahoma" w:hAnsi="Tahoma" w:cs="Tahoma"/>
          <w:i/>
          <w:sz w:val="18"/>
          <w:szCs w:val="18"/>
          <w:lang w:val="ru-RU"/>
        </w:rPr>
        <w:t>Производња и снабдијевање електричном енергијом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715D3A" w:rsidRPr="00150D48">
        <w:rPr>
          <w:rFonts w:ascii="Tahoma" w:hAnsi="Tahoma" w:cs="Tahoma"/>
          <w:sz w:val="18"/>
          <w:szCs w:val="18"/>
          <w:lang w:val="sr-Cyrl-BA"/>
        </w:rPr>
        <w:t>позитивна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 xml:space="preserve"> стопа промјене </w:t>
      </w:r>
      <w:r w:rsidR="00715D3A" w:rsidRPr="00150D48">
        <w:rPr>
          <w:rFonts w:ascii="Tahoma" w:hAnsi="Tahoma" w:cs="Tahoma"/>
          <w:sz w:val="18"/>
          <w:szCs w:val="18"/>
          <w:lang w:val="sr-Cyrl-BA"/>
        </w:rPr>
        <w:t>од</w:t>
      </w:r>
      <w:r w:rsidR="00C42F94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0D03D6" w:rsidRPr="00150D48">
        <w:rPr>
          <w:rFonts w:ascii="Tahoma" w:hAnsi="Tahoma" w:cs="Tahoma"/>
          <w:sz w:val="18"/>
          <w:szCs w:val="18"/>
          <w:lang w:val="sr-Cyrl-BA"/>
        </w:rPr>
        <w:t>2</w:t>
      </w:r>
      <w:r w:rsidR="00C42F94" w:rsidRPr="00150D48">
        <w:rPr>
          <w:rFonts w:ascii="Tahoma" w:hAnsi="Tahoma" w:cs="Tahoma"/>
          <w:sz w:val="18"/>
          <w:szCs w:val="18"/>
          <w:lang w:val="ru-RU"/>
        </w:rPr>
        <w:t>,</w:t>
      </w:r>
      <w:r w:rsidR="000D03D6" w:rsidRPr="00150D48">
        <w:rPr>
          <w:rFonts w:ascii="Tahoma" w:hAnsi="Tahoma" w:cs="Tahoma"/>
          <w:sz w:val="18"/>
          <w:szCs w:val="18"/>
          <w:lang w:val="ru-RU"/>
        </w:rPr>
        <w:t>2</w:t>
      </w:r>
      <w:r w:rsidR="00C42F94" w:rsidRPr="00150D48">
        <w:rPr>
          <w:rFonts w:ascii="Tahoma" w:hAnsi="Tahoma" w:cs="Tahoma"/>
          <w:sz w:val="18"/>
          <w:szCs w:val="18"/>
          <w:lang w:val="ru-RU"/>
        </w:rPr>
        <w:t>%.</w:t>
      </w:r>
    </w:p>
    <w:p w:rsidR="006869EB" w:rsidRPr="00150D48" w:rsidRDefault="006869EB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</w:p>
    <w:p w:rsidR="00C42F94" w:rsidRPr="00150D48" w:rsidRDefault="00C42F94" w:rsidP="0020048F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 w:rsidRPr="00150D48">
        <w:rPr>
          <w:rFonts w:ascii="Tahoma" w:hAnsi="Tahoma" w:cs="Tahoma"/>
          <w:sz w:val="18"/>
          <w:szCs w:val="18"/>
          <w:lang w:val="ru-RU"/>
        </w:rPr>
        <w:t xml:space="preserve">Посматрано по економској намјени индустријских производа у периоду јануар - </w:t>
      </w:r>
      <w:r w:rsidR="000D03D6" w:rsidRPr="00150D48">
        <w:rPr>
          <w:rFonts w:ascii="Tahoma" w:hAnsi="Tahoma" w:cs="Tahoma"/>
          <w:sz w:val="18"/>
          <w:szCs w:val="18"/>
          <w:lang w:val="ru-RU"/>
        </w:rPr>
        <w:t>новембар</w:t>
      </w:r>
      <w:r w:rsidRPr="00150D48">
        <w:rPr>
          <w:rFonts w:ascii="Tahoma" w:hAnsi="Tahoma" w:cs="Tahoma"/>
          <w:sz w:val="18"/>
          <w:szCs w:val="18"/>
          <w:lang w:val="ru-RU"/>
        </w:rPr>
        <w:t xml:space="preserve"> 2011. године у односу на исти период прошле године забиљежена је </w:t>
      </w:r>
      <w:r w:rsidRPr="00150D48">
        <w:rPr>
          <w:rFonts w:ascii="Tahoma" w:hAnsi="Tahoma" w:cs="Tahoma"/>
          <w:sz w:val="18"/>
          <w:szCs w:val="18"/>
          <w:lang w:val="sr-Cyrl-BA"/>
        </w:rPr>
        <w:t xml:space="preserve">позитивна стопа промјене </w:t>
      </w:r>
      <w:r w:rsidR="008E6F6E" w:rsidRPr="00150D48">
        <w:rPr>
          <w:rFonts w:ascii="Tahoma" w:hAnsi="Tahoma" w:cs="Tahoma"/>
          <w:sz w:val="18"/>
          <w:szCs w:val="18"/>
          <w:lang w:val="ru-RU"/>
        </w:rPr>
        <w:t xml:space="preserve">трајних производа </w:t>
      </w:r>
      <w:r w:rsidRPr="00150D48">
        <w:rPr>
          <w:rFonts w:ascii="Tahoma" w:hAnsi="Tahoma" w:cs="Tahoma"/>
          <w:sz w:val="18"/>
          <w:szCs w:val="18"/>
          <w:lang w:val="sr-Cyrl-BA"/>
        </w:rPr>
        <w:t>од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0D03D6" w:rsidRPr="00150D48">
        <w:rPr>
          <w:rFonts w:ascii="Tahoma" w:hAnsi="Tahoma" w:cs="Tahoma"/>
          <w:sz w:val="18"/>
          <w:szCs w:val="18"/>
          <w:lang w:val="sr-Cyrl-CS"/>
        </w:rPr>
        <w:t>31</w:t>
      </w:r>
      <w:r w:rsidRPr="00150D48">
        <w:rPr>
          <w:rFonts w:ascii="Tahoma" w:hAnsi="Tahoma" w:cs="Tahoma"/>
          <w:sz w:val="18"/>
          <w:szCs w:val="18"/>
          <w:lang w:val="sr-Cyrl-CS"/>
        </w:rPr>
        <w:t>,</w:t>
      </w:r>
      <w:r w:rsidR="00554EB1" w:rsidRPr="00150D48">
        <w:rPr>
          <w:rFonts w:ascii="Tahoma" w:hAnsi="Tahoma" w:cs="Tahoma"/>
          <w:sz w:val="18"/>
          <w:szCs w:val="18"/>
          <w:lang w:val="sr-Cyrl-CS"/>
        </w:rPr>
        <w:t>0</w:t>
      </w:r>
      <w:r w:rsidRPr="00150D48">
        <w:rPr>
          <w:rFonts w:ascii="Tahoma" w:hAnsi="Tahoma" w:cs="Tahoma"/>
          <w:sz w:val="18"/>
          <w:szCs w:val="18"/>
          <w:lang w:val="sr-Cyrl-BA"/>
        </w:rPr>
        <w:t>%</w:t>
      </w:r>
      <w:r w:rsidR="008E6F6E" w:rsidRPr="00150D48">
        <w:rPr>
          <w:rFonts w:ascii="Tahoma" w:hAnsi="Tahoma" w:cs="Tahoma"/>
          <w:sz w:val="18"/>
          <w:szCs w:val="18"/>
          <w:lang w:val="sr-Cyrl-BA"/>
        </w:rPr>
        <w:t>,</w:t>
      </w:r>
      <w:r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554EB1" w:rsidRPr="00150D48">
        <w:rPr>
          <w:rFonts w:ascii="Tahoma" w:hAnsi="Tahoma" w:cs="Tahoma"/>
          <w:sz w:val="18"/>
          <w:szCs w:val="18"/>
          <w:lang w:val="ru-RU"/>
        </w:rPr>
        <w:t xml:space="preserve">енергије </w:t>
      </w:r>
      <w:r w:rsidRPr="00150D48">
        <w:rPr>
          <w:rFonts w:ascii="Tahoma" w:hAnsi="Tahoma" w:cs="Tahoma"/>
          <w:sz w:val="18"/>
          <w:szCs w:val="18"/>
          <w:lang w:val="sr-Cyrl-BA"/>
        </w:rPr>
        <w:t xml:space="preserve">од </w:t>
      </w:r>
      <w:r w:rsidR="000D03D6" w:rsidRPr="00150D48">
        <w:rPr>
          <w:rFonts w:ascii="Tahoma" w:hAnsi="Tahoma" w:cs="Tahoma"/>
          <w:sz w:val="18"/>
          <w:szCs w:val="18"/>
          <w:lang w:val="sr-Cyrl-BA"/>
        </w:rPr>
        <w:t>7</w:t>
      </w:r>
      <w:r w:rsidR="008E6F6E" w:rsidRPr="00150D48">
        <w:rPr>
          <w:rFonts w:ascii="Tahoma" w:hAnsi="Tahoma" w:cs="Tahoma"/>
          <w:sz w:val="18"/>
          <w:szCs w:val="18"/>
          <w:lang w:val="sr-Cyrl-BA"/>
        </w:rPr>
        <w:t>,</w:t>
      </w:r>
      <w:r w:rsidR="000D03D6" w:rsidRPr="00150D48">
        <w:rPr>
          <w:rFonts w:ascii="Tahoma" w:hAnsi="Tahoma" w:cs="Tahoma"/>
          <w:sz w:val="18"/>
          <w:szCs w:val="18"/>
          <w:lang w:val="sr-Cyrl-BA"/>
        </w:rPr>
        <w:t>2</w:t>
      </w:r>
      <w:r w:rsidRPr="00150D48">
        <w:rPr>
          <w:rFonts w:ascii="Tahoma" w:hAnsi="Tahoma" w:cs="Tahoma"/>
          <w:sz w:val="18"/>
          <w:szCs w:val="18"/>
          <w:lang w:val="sr-Cyrl-BA"/>
        </w:rPr>
        <w:t>%</w:t>
      </w:r>
      <w:r w:rsidR="00161921" w:rsidRPr="00150D48">
        <w:rPr>
          <w:rFonts w:ascii="Tahoma" w:hAnsi="Tahoma" w:cs="Tahoma"/>
          <w:sz w:val="18"/>
          <w:szCs w:val="18"/>
          <w:lang w:val="sr-Cyrl-BA"/>
        </w:rPr>
        <w:t>,</w:t>
      </w:r>
      <w:r w:rsidR="00715D3A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554EB1" w:rsidRPr="00150D48">
        <w:rPr>
          <w:rFonts w:ascii="Tahoma" w:hAnsi="Tahoma" w:cs="Tahoma"/>
          <w:sz w:val="18"/>
          <w:szCs w:val="18"/>
          <w:lang w:val="ru-RU"/>
        </w:rPr>
        <w:t>интермедијарних</w:t>
      </w:r>
      <w:r w:rsidR="00554EB1" w:rsidRPr="00150D48">
        <w:rPr>
          <w:rFonts w:ascii="Tahoma" w:hAnsi="Tahoma" w:cs="Tahoma"/>
          <w:sz w:val="18"/>
          <w:szCs w:val="18"/>
          <w:lang w:val="sr-Cyrl-BA"/>
        </w:rPr>
        <w:t xml:space="preserve"> производа</w:t>
      </w:r>
      <w:r w:rsidR="00554EB1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 w:rsidR="002F5375" w:rsidRPr="00150D48">
        <w:rPr>
          <w:rFonts w:ascii="Tahoma" w:hAnsi="Tahoma" w:cs="Tahoma"/>
          <w:sz w:val="18"/>
          <w:szCs w:val="18"/>
          <w:lang w:val="ru-RU"/>
        </w:rPr>
        <w:t>од 6</w:t>
      </w:r>
      <w:r w:rsidR="00161921" w:rsidRPr="00150D48">
        <w:rPr>
          <w:rFonts w:ascii="Tahoma" w:hAnsi="Tahoma" w:cs="Tahoma"/>
          <w:sz w:val="18"/>
          <w:szCs w:val="18"/>
          <w:lang w:val="ru-RU"/>
        </w:rPr>
        <w:t>,</w:t>
      </w:r>
      <w:r w:rsidR="002F5375" w:rsidRPr="00150D48">
        <w:rPr>
          <w:rFonts w:ascii="Tahoma" w:hAnsi="Tahoma" w:cs="Tahoma"/>
          <w:sz w:val="18"/>
          <w:szCs w:val="18"/>
          <w:lang w:val="ru-RU"/>
        </w:rPr>
        <w:t>6</w:t>
      </w:r>
      <w:r w:rsidR="00161921" w:rsidRPr="00150D48">
        <w:rPr>
          <w:rFonts w:ascii="Tahoma" w:hAnsi="Tahoma" w:cs="Tahoma"/>
          <w:sz w:val="18"/>
          <w:szCs w:val="18"/>
          <w:lang w:val="ru-RU"/>
        </w:rPr>
        <w:t xml:space="preserve">% </w:t>
      </w:r>
      <w:r w:rsidR="00715D3A" w:rsidRPr="00150D48">
        <w:rPr>
          <w:rFonts w:ascii="Tahoma" w:hAnsi="Tahoma" w:cs="Tahoma"/>
          <w:sz w:val="18"/>
          <w:szCs w:val="18"/>
          <w:lang w:val="sr-Cyrl-BA"/>
        </w:rPr>
        <w:t>и</w:t>
      </w:r>
      <w:r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715D3A" w:rsidRPr="00150D48">
        <w:rPr>
          <w:rFonts w:ascii="Tahoma" w:hAnsi="Tahoma" w:cs="Tahoma"/>
          <w:sz w:val="18"/>
          <w:szCs w:val="18"/>
          <w:lang w:val="ru-RU"/>
        </w:rPr>
        <w:t>нетрајних</w:t>
      </w:r>
      <w:r w:rsidR="00715D3A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FD27D1" w:rsidRPr="00150D48">
        <w:rPr>
          <w:rFonts w:ascii="Tahoma" w:hAnsi="Tahoma" w:cs="Tahoma"/>
          <w:sz w:val="18"/>
          <w:szCs w:val="18"/>
          <w:lang w:val="ru-RU"/>
        </w:rPr>
        <w:t xml:space="preserve">производа </w:t>
      </w:r>
      <w:r w:rsidR="008E6F6E" w:rsidRPr="00150D48">
        <w:rPr>
          <w:rFonts w:ascii="Tahoma" w:hAnsi="Tahoma" w:cs="Tahoma"/>
          <w:sz w:val="18"/>
          <w:szCs w:val="18"/>
          <w:lang w:val="ru-RU"/>
        </w:rPr>
        <w:t xml:space="preserve">од </w:t>
      </w:r>
      <w:r w:rsidR="000D03D6" w:rsidRPr="00150D48">
        <w:rPr>
          <w:rFonts w:ascii="Tahoma" w:hAnsi="Tahoma" w:cs="Tahoma"/>
          <w:sz w:val="18"/>
          <w:szCs w:val="18"/>
          <w:lang w:val="ru-RU"/>
        </w:rPr>
        <w:t>2</w:t>
      </w:r>
      <w:r w:rsidRPr="00150D48">
        <w:rPr>
          <w:rFonts w:ascii="Tahoma" w:hAnsi="Tahoma" w:cs="Tahoma"/>
          <w:sz w:val="18"/>
          <w:szCs w:val="18"/>
          <w:lang w:val="sr-Cyrl-CS"/>
        </w:rPr>
        <w:t>,</w:t>
      </w:r>
      <w:r w:rsidR="000D03D6" w:rsidRPr="00150D48">
        <w:rPr>
          <w:rFonts w:ascii="Tahoma" w:hAnsi="Tahoma" w:cs="Tahoma"/>
          <w:sz w:val="18"/>
          <w:szCs w:val="18"/>
          <w:lang w:val="sr-Cyrl-CS"/>
        </w:rPr>
        <w:t>6</w:t>
      </w:r>
      <w:r w:rsidRPr="00150D48">
        <w:rPr>
          <w:rFonts w:ascii="Tahoma" w:hAnsi="Tahoma" w:cs="Tahoma"/>
          <w:sz w:val="18"/>
          <w:szCs w:val="18"/>
          <w:lang w:val="ru-RU"/>
        </w:rPr>
        <w:t>%</w:t>
      </w:r>
      <w:r w:rsidR="00715D3A" w:rsidRPr="00150D48">
        <w:rPr>
          <w:rFonts w:ascii="Tahoma" w:hAnsi="Tahoma" w:cs="Tahoma"/>
          <w:sz w:val="18"/>
          <w:szCs w:val="18"/>
          <w:lang w:val="ru-RU"/>
        </w:rPr>
        <w:t xml:space="preserve">, док је код </w:t>
      </w:r>
      <w:r w:rsidR="00715D3A" w:rsidRPr="00150D48">
        <w:rPr>
          <w:rFonts w:ascii="Tahoma" w:hAnsi="Tahoma" w:cs="Tahoma"/>
          <w:sz w:val="18"/>
          <w:szCs w:val="18"/>
          <w:lang w:val="sr-Cyrl-BA"/>
        </w:rPr>
        <w:t>капиталних производа</w:t>
      </w:r>
      <w:r w:rsidR="00715D3A" w:rsidRPr="00150D48">
        <w:rPr>
          <w:rFonts w:ascii="Tahoma" w:hAnsi="Tahoma" w:cs="Tahoma"/>
          <w:sz w:val="18"/>
          <w:szCs w:val="18"/>
          <w:lang w:val="ru-RU"/>
        </w:rPr>
        <w:t xml:space="preserve"> забиљежена негативна стопа промјене</w:t>
      </w:r>
      <w:r w:rsidR="00FD27D1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 w:rsidR="00903A70" w:rsidRPr="00150D48">
        <w:rPr>
          <w:rFonts w:ascii="Tahoma" w:hAnsi="Tahoma" w:cs="Tahoma"/>
          <w:sz w:val="18"/>
          <w:szCs w:val="18"/>
          <w:lang w:val="ru-RU"/>
        </w:rPr>
        <w:t xml:space="preserve">од </w:t>
      </w:r>
      <w:r w:rsidR="000D03D6" w:rsidRPr="00150D48">
        <w:rPr>
          <w:rFonts w:ascii="Tahoma" w:hAnsi="Tahoma" w:cs="Tahoma"/>
          <w:sz w:val="18"/>
          <w:szCs w:val="18"/>
          <w:lang w:val="ru-RU"/>
        </w:rPr>
        <w:t>7</w:t>
      </w:r>
      <w:r w:rsidRPr="00150D48">
        <w:rPr>
          <w:rFonts w:ascii="Tahoma" w:hAnsi="Tahoma" w:cs="Tahoma"/>
          <w:sz w:val="18"/>
          <w:szCs w:val="18"/>
          <w:lang w:val="ru-RU"/>
        </w:rPr>
        <w:t>,</w:t>
      </w:r>
      <w:r w:rsidR="000D03D6" w:rsidRPr="00150D48">
        <w:rPr>
          <w:rFonts w:ascii="Tahoma" w:hAnsi="Tahoma" w:cs="Tahoma"/>
          <w:sz w:val="18"/>
          <w:szCs w:val="18"/>
          <w:lang w:val="ru-RU"/>
        </w:rPr>
        <w:t>0</w:t>
      </w:r>
      <w:r w:rsidRPr="00150D48">
        <w:rPr>
          <w:rFonts w:ascii="Tahoma" w:hAnsi="Tahoma" w:cs="Tahoma"/>
          <w:sz w:val="18"/>
          <w:szCs w:val="18"/>
          <w:lang w:val="ru-RU"/>
        </w:rPr>
        <w:t>%.</w:t>
      </w:r>
    </w:p>
    <w:p w:rsidR="00F30813" w:rsidRPr="00150D48" w:rsidRDefault="00F30813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029D8" w:rsidRPr="00150D48" w:rsidRDefault="005029D8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150D48">
        <w:rPr>
          <w:rFonts w:ascii="Tahoma" w:hAnsi="Tahoma" w:cs="Tahoma"/>
          <w:b/>
          <w:sz w:val="18"/>
          <w:szCs w:val="18"/>
          <w:lang w:val="ru-RU"/>
        </w:rPr>
        <w:t>Број запослених у индустрији</w:t>
      </w:r>
      <w:r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 w:rsidR="00431EFB" w:rsidRPr="00150D48">
        <w:rPr>
          <w:rFonts w:ascii="Tahoma" w:hAnsi="Tahoma" w:cs="Tahoma"/>
          <w:sz w:val="18"/>
          <w:szCs w:val="18"/>
          <w:lang w:val="ru-RU"/>
        </w:rPr>
        <w:t xml:space="preserve">у </w:t>
      </w:r>
      <w:r w:rsidR="00D15ED3" w:rsidRPr="00150D48">
        <w:rPr>
          <w:rFonts w:ascii="Tahoma" w:hAnsi="Tahoma" w:cs="Tahoma"/>
          <w:sz w:val="18"/>
          <w:szCs w:val="18"/>
          <w:lang w:val="sr-Cyrl-CS"/>
        </w:rPr>
        <w:t>новембру</w:t>
      </w:r>
      <w:r w:rsidR="00431EFB" w:rsidRPr="00150D48">
        <w:rPr>
          <w:rFonts w:ascii="Tahoma" w:hAnsi="Tahoma" w:cs="Tahoma"/>
          <w:sz w:val="18"/>
          <w:szCs w:val="18"/>
          <w:lang w:val="ru-RU"/>
        </w:rPr>
        <w:t xml:space="preserve"> 2011. године </w:t>
      </w:r>
      <w:r w:rsidR="00431EFB" w:rsidRPr="00150D48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="00431EFB" w:rsidRPr="00150D48">
        <w:rPr>
          <w:rFonts w:ascii="Tahoma" w:hAnsi="Tahoma" w:cs="Tahoma"/>
          <w:sz w:val="18"/>
          <w:szCs w:val="18"/>
          <w:lang w:val="ru-RU"/>
        </w:rPr>
        <w:t xml:space="preserve">односу на </w:t>
      </w:r>
      <w:r w:rsidR="00D15ED3" w:rsidRPr="00150D48">
        <w:rPr>
          <w:rFonts w:ascii="Tahoma" w:hAnsi="Tahoma" w:cs="Tahoma"/>
          <w:sz w:val="18"/>
          <w:szCs w:val="18"/>
          <w:lang w:val="ru-RU"/>
        </w:rPr>
        <w:t>октобар</w:t>
      </w:r>
      <w:r w:rsidR="00431EFB" w:rsidRPr="00150D48">
        <w:rPr>
          <w:rFonts w:ascii="Tahoma" w:hAnsi="Tahoma" w:cs="Tahoma"/>
          <w:sz w:val="18"/>
          <w:szCs w:val="18"/>
          <w:lang w:val="sr-Cyrl-CS"/>
        </w:rPr>
        <w:t xml:space="preserve"> 2011.</w:t>
      </w:r>
      <w:r w:rsidR="00431EFB" w:rsidRPr="00150D48">
        <w:rPr>
          <w:rFonts w:ascii="Tahoma" w:hAnsi="Tahoma" w:cs="Tahoma"/>
          <w:sz w:val="18"/>
          <w:szCs w:val="18"/>
          <w:lang w:val="ru-RU"/>
        </w:rPr>
        <w:t xml:space="preserve"> године </w:t>
      </w:r>
      <w:r w:rsidR="00E929B6" w:rsidRPr="00150D48">
        <w:rPr>
          <w:rFonts w:ascii="Tahoma" w:hAnsi="Tahoma" w:cs="Tahoma"/>
          <w:sz w:val="18"/>
          <w:szCs w:val="18"/>
          <w:lang w:val="ru-RU"/>
        </w:rPr>
        <w:t>мањи</w:t>
      </w:r>
      <w:r w:rsidR="0066355A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 w:rsidR="00431EFB" w:rsidRPr="00150D48">
        <w:rPr>
          <w:rFonts w:ascii="Tahoma" w:hAnsi="Tahoma" w:cs="Tahoma"/>
          <w:sz w:val="18"/>
          <w:szCs w:val="18"/>
          <w:lang w:val="ru-RU"/>
        </w:rPr>
        <w:t xml:space="preserve">је </w:t>
      </w:r>
      <w:r w:rsidR="0066355A" w:rsidRPr="00150D48">
        <w:rPr>
          <w:rFonts w:ascii="Tahoma" w:hAnsi="Tahoma" w:cs="Tahoma"/>
          <w:sz w:val="18"/>
          <w:szCs w:val="18"/>
          <w:lang w:val="ru-RU"/>
        </w:rPr>
        <w:t xml:space="preserve">за </w:t>
      </w:r>
      <w:r w:rsidR="00D15ED3" w:rsidRPr="00150D48">
        <w:rPr>
          <w:rFonts w:ascii="Tahoma" w:hAnsi="Tahoma" w:cs="Tahoma"/>
          <w:sz w:val="18"/>
          <w:szCs w:val="18"/>
          <w:lang w:val="ru-RU"/>
        </w:rPr>
        <w:t>1</w:t>
      </w:r>
      <w:r w:rsidR="0066355A" w:rsidRPr="00150D48">
        <w:rPr>
          <w:rFonts w:ascii="Tahoma" w:hAnsi="Tahoma" w:cs="Tahoma"/>
          <w:sz w:val="18"/>
          <w:szCs w:val="18"/>
          <w:lang w:val="ru-RU"/>
        </w:rPr>
        <w:t>,</w:t>
      </w:r>
      <w:r w:rsidR="00D15ED3" w:rsidRPr="00150D48">
        <w:rPr>
          <w:rFonts w:ascii="Tahoma" w:hAnsi="Tahoma" w:cs="Tahoma"/>
          <w:sz w:val="18"/>
          <w:szCs w:val="18"/>
          <w:lang w:val="ru-RU"/>
        </w:rPr>
        <w:t>0</w:t>
      </w:r>
      <w:r w:rsidR="0066355A" w:rsidRPr="00150D48">
        <w:rPr>
          <w:rFonts w:ascii="Tahoma" w:hAnsi="Tahoma" w:cs="Tahoma"/>
          <w:sz w:val="18"/>
          <w:szCs w:val="18"/>
          <w:lang w:val="ru-RU"/>
        </w:rPr>
        <w:t>%</w:t>
      </w:r>
      <w:r w:rsidR="00431EFB" w:rsidRPr="00150D48">
        <w:rPr>
          <w:rFonts w:ascii="Tahoma" w:hAnsi="Tahoma" w:cs="Tahoma"/>
          <w:sz w:val="18"/>
          <w:szCs w:val="18"/>
          <w:lang w:val="ru-RU"/>
        </w:rPr>
        <w:t>.</w:t>
      </w:r>
    </w:p>
    <w:p w:rsidR="005029D8" w:rsidRPr="00150D48" w:rsidRDefault="005029D8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5029D8" w:rsidRPr="00150D48" w:rsidRDefault="005029D8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150D48">
        <w:rPr>
          <w:rFonts w:ascii="Tahoma" w:hAnsi="Tahoma" w:cs="Tahoma"/>
          <w:sz w:val="18"/>
          <w:szCs w:val="18"/>
          <w:lang w:val="sr-Cyrl-CS"/>
        </w:rPr>
        <w:t xml:space="preserve">Укупан број запослених у индустрији у </w:t>
      </w:r>
      <w:r w:rsidRPr="00150D48">
        <w:rPr>
          <w:rFonts w:ascii="Tahoma" w:hAnsi="Tahoma" w:cs="Tahoma"/>
          <w:sz w:val="18"/>
          <w:szCs w:val="18"/>
          <w:lang w:val="ru-RU"/>
        </w:rPr>
        <w:t xml:space="preserve">периоду јануар - </w:t>
      </w:r>
      <w:r w:rsidR="00D15ED3" w:rsidRPr="00150D48">
        <w:rPr>
          <w:rFonts w:ascii="Tahoma" w:hAnsi="Tahoma" w:cs="Tahoma"/>
          <w:sz w:val="18"/>
          <w:szCs w:val="18"/>
          <w:lang w:val="ru-RU"/>
        </w:rPr>
        <w:t>новембар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2011. године у поређењу са истим периодом прошле године </w:t>
      </w:r>
      <w:r w:rsidR="00C249E3" w:rsidRPr="00150D48">
        <w:rPr>
          <w:rFonts w:ascii="Tahoma" w:hAnsi="Tahoma" w:cs="Tahoma"/>
          <w:sz w:val="18"/>
          <w:szCs w:val="18"/>
          <w:lang w:val="sr-Cyrl-CS"/>
        </w:rPr>
        <w:t>мањи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је за </w:t>
      </w:r>
      <w:r w:rsidR="00CF2D6E" w:rsidRPr="00150D48">
        <w:rPr>
          <w:rFonts w:ascii="Tahoma" w:hAnsi="Tahoma" w:cs="Tahoma"/>
          <w:sz w:val="18"/>
          <w:szCs w:val="18"/>
          <w:lang w:val="sr-Cyrl-CS"/>
        </w:rPr>
        <w:t>2</w:t>
      </w:r>
      <w:r w:rsidRPr="00150D48">
        <w:rPr>
          <w:rFonts w:ascii="Tahoma" w:hAnsi="Tahoma" w:cs="Tahoma"/>
          <w:sz w:val="18"/>
          <w:szCs w:val="18"/>
          <w:lang w:val="sr-Cyrl-CS"/>
        </w:rPr>
        <w:t>,</w:t>
      </w:r>
      <w:r w:rsidR="00D15ED3" w:rsidRPr="00150D48">
        <w:rPr>
          <w:rFonts w:ascii="Tahoma" w:hAnsi="Tahoma" w:cs="Tahoma"/>
          <w:sz w:val="18"/>
          <w:szCs w:val="18"/>
          <w:lang w:val="sr-Cyrl-CS"/>
        </w:rPr>
        <w:t>4</w:t>
      </w:r>
      <w:r w:rsidRPr="00150D48">
        <w:rPr>
          <w:rFonts w:ascii="Tahoma" w:hAnsi="Tahoma" w:cs="Tahoma"/>
          <w:sz w:val="18"/>
          <w:szCs w:val="18"/>
          <w:lang w:val="sr-Cyrl-CS"/>
        </w:rPr>
        <w:t>%</w:t>
      </w:r>
      <w:r w:rsidRPr="00150D48">
        <w:rPr>
          <w:rFonts w:ascii="Tahoma" w:hAnsi="Tahoma" w:cs="Tahoma"/>
          <w:sz w:val="18"/>
          <w:szCs w:val="18"/>
          <w:lang w:val="ru-RU"/>
        </w:rPr>
        <w:t xml:space="preserve">, при чему је </w:t>
      </w:r>
      <w:r w:rsidR="00431EFB" w:rsidRPr="00150D48">
        <w:rPr>
          <w:rFonts w:ascii="Tahoma" w:hAnsi="Tahoma" w:cs="Tahoma"/>
          <w:sz w:val="18"/>
          <w:szCs w:val="18"/>
          <w:lang w:val="sr-Cyrl-CS"/>
        </w:rPr>
        <w:t xml:space="preserve">у подручју </w:t>
      </w:r>
      <w:r w:rsidR="00431EFB" w:rsidRPr="00150D48">
        <w:rPr>
          <w:rFonts w:ascii="Tahoma" w:hAnsi="Tahoma" w:cs="Tahoma"/>
          <w:i/>
          <w:sz w:val="18"/>
          <w:szCs w:val="18"/>
          <w:lang w:val="sr-Cyrl-CS"/>
        </w:rPr>
        <w:t>Вађење руда и камена</w:t>
      </w:r>
      <w:r w:rsidR="00431EFB" w:rsidRPr="00150D48">
        <w:rPr>
          <w:rFonts w:ascii="Tahoma" w:hAnsi="Tahoma" w:cs="Tahoma"/>
          <w:sz w:val="18"/>
          <w:szCs w:val="18"/>
          <w:lang w:val="sr-Cyrl-CS"/>
        </w:rPr>
        <w:t xml:space="preserve"> остварен раст од </w:t>
      </w:r>
      <w:r w:rsidR="00C249E3" w:rsidRPr="00150D48">
        <w:rPr>
          <w:rFonts w:ascii="Tahoma" w:hAnsi="Tahoma" w:cs="Tahoma"/>
          <w:sz w:val="18"/>
          <w:szCs w:val="18"/>
          <w:lang w:val="sr-Cyrl-CS"/>
        </w:rPr>
        <w:t>3</w:t>
      </w:r>
      <w:r w:rsidR="00431EFB" w:rsidRPr="00150D48">
        <w:rPr>
          <w:rFonts w:ascii="Tahoma" w:hAnsi="Tahoma" w:cs="Tahoma"/>
          <w:sz w:val="18"/>
          <w:szCs w:val="18"/>
          <w:lang w:val="sr-Cyrl-CS"/>
        </w:rPr>
        <w:t>,</w:t>
      </w:r>
      <w:r w:rsidR="00D15ED3" w:rsidRPr="00150D48">
        <w:rPr>
          <w:rFonts w:ascii="Tahoma" w:hAnsi="Tahoma" w:cs="Tahoma"/>
          <w:sz w:val="18"/>
          <w:szCs w:val="18"/>
          <w:lang w:val="sr-Cyrl-CS"/>
        </w:rPr>
        <w:t>2</w:t>
      </w:r>
      <w:r w:rsidR="00431EFB" w:rsidRPr="00150D48">
        <w:rPr>
          <w:rFonts w:ascii="Tahoma" w:hAnsi="Tahoma" w:cs="Tahoma"/>
          <w:sz w:val="18"/>
          <w:szCs w:val="18"/>
          <w:lang w:val="ru-RU"/>
        </w:rPr>
        <w:t xml:space="preserve">% и </w:t>
      </w:r>
      <w:r w:rsidRPr="00150D48">
        <w:rPr>
          <w:rFonts w:ascii="Tahoma" w:hAnsi="Tahoma" w:cs="Tahoma"/>
          <w:sz w:val="18"/>
          <w:szCs w:val="18"/>
          <w:lang w:val="ru-RU"/>
        </w:rPr>
        <w:t>у подручју</w:t>
      </w:r>
      <w:r w:rsidR="005A2DA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 w:rsidRPr="00150D48">
        <w:rPr>
          <w:rFonts w:ascii="Tahoma" w:hAnsi="Tahoma" w:cs="Tahoma"/>
          <w:sz w:val="18"/>
          <w:szCs w:val="18"/>
          <w:lang w:val="ru-RU"/>
        </w:rPr>
        <w:t xml:space="preserve">- </w:t>
      </w:r>
      <w:r w:rsidRPr="00150D48">
        <w:rPr>
          <w:rFonts w:ascii="Tahoma" w:hAnsi="Tahoma" w:cs="Tahoma"/>
          <w:i/>
          <w:sz w:val="18"/>
          <w:szCs w:val="18"/>
          <w:lang w:val="ru-RU"/>
        </w:rPr>
        <w:t>Производња и снабдијевање електричном енергијом</w:t>
      </w:r>
      <w:r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 w:rsidR="00C249E3" w:rsidRPr="00150D48">
        <w:rPr>
          <w:rFonts w:ascii="Tahoma" w:hAnsi="Tahoma" w:cs="Tahoma"/>
          <w:sz w:val="18"/>
          <w:szCs w:val="18"/>
          <w:lang w:val="ru-RU"/>
        </w:rPr>
        <w:t xml:space="preserve">раст </w:t>
      </w:r>
      <w:r w:rsidR="00431EFB" w:rsidRPr="00150D48">
        <w:rPr>
          <w:rFonts w:ascii="Tahoma" w:hAnsi="Tahoma" w:cs="Tahoma"/>
          <w:sz w:val="18"/>
          <w:szCs w:val="18"/>
          <w:lang w:val="sr-Cyrl-CS"/>
        </w:rPr>
        <w:t xml:space="preserve">од </w:t>
      </w:r>
      <w:r w:rsidR="00715D3A" w:rsidRPr="00150D48">
        <w:rPr>
          <w:rFonts w:ascii="Tahoma" w:hAnsi="Tahoma" w:cs="Tahoma"/>
          <w:sz w:val="18"/>
          <w:szCs w:val="18"/>
          <w:lang w:val="sr-Cyrl-CS"/>
        </w:rPr>
        <w:t>0</w:t>
      </w:r>
      <w:r w:rsidR="00431EFB" w:rsidRPr="00150D48">
        <w:rPr>
          <w:rFonts w:ascii="Tahoma" w:hAnsi="Tahoma" w:cs="Tahoma"/>
          <w:sz w:val="18"/>
          <w:szCs w:val="18"/>
          <w:lang w:val="ru-RU"/>
        </w:rPr>
        <w:t>,</w:t>
      </w:r>
      <w:r w:rsidR="00D15ED3" w:rsidRPr="00150D48">
        <w:rPr>
          <w:rFonts w:ascii="Tahoma" w:hAnsi="Tahoma" w:cs="Tahoma"/>
          <w:sz w:val="18"/>
          <w:szCs w:val="18"/>
          <w:lang w:val="ru-RU"/>
        </w:rPr>
        <w:t>1</w:t>
      </w:r>
      <w:r w:rsidR="00431EFB" w:rsidRPr="00150D48">
        <w:rPr>
          <w:rFonts w:ascii="Tahoma" w:hAnsi="Tahoma" w:cs="Tahoma"/>
          <w:sz w:val="18"/>
          <w:szCs w:val="18"/>
          <w:lang w:val="ru-RU"/>
        </w:rPr>
        <w:t xml:space="preserve">%, док је у подручју </w:t>
      </w:r>
      <w:r w:rsidR="00431EFB" w:rsidRPr="00150D48">
        <w:rPr>
          <w:rFonts w:ascii="Tahoma" w:hAnsi="Tahoma" w:cs="Tahoma"/>
          <w:i/>
          <w:sz w:val="18"/>
          <w:szCs w:val="18"/>
          <w:lang w:val="ru-RU"/>
        </w:rPr>
        <w:t>Прерађивачка индустрија</w:t>
      </w:r>
      <w:r w:rsidR="00431EFB" w:rsidRPr="00150D48">
        <w:rPr>
          <w:rFonts w:ascii="Tahoma" w:hAnsi="Tahoma" w:cs="Tahoma"/>
          <w:sz w:val="18"/>
          <w:szCs w:val="18"/>
          <w:lang w:val="ru-RU"/>
        </w:rPr>
        <w:t xml:space="preserve"> забиљежен пад </w:t>
      </w:r>
      <w:r w:rsidR="00431EFB" w:rsidRPr="00150D48">
        <w:rPr>
          <w:rFonts w:ascii="Tahoma" w:hAnsi="Tahoma" w:cs="Tahoma"/>
          <w:sz w:val="18"/>
          <w:szCs w:val="18"/>
          <w:lang w:val="sr-Cyrl-CS"/>
        </w:rPr>
        <w:t xml:space="preserve">броја запослених </w:t>
      </w:r>
      <w:r w:rsidR="00431EFB" w:rsidRPr="00150D48">
        <w:rPr>
          <w:rFonts w:ascii="Tahoma" w:hAnsi="Tahoma" w:cs="Tahoma"/>
          <w:sz w:val="18"/>
          <w:szCs w:val="18"/>
          <w:lang w:val="ru-RU"/>
        </w:rPr>
        <w:t xml:space="preserve">од </w:t>
      </w:r>
      <w:r w:rsidR="00CF2D6E" w:rsidRPr="00150D48">
        <w:rPr>
          <w:rFonts w:ascii="Tahoma" w:hAnsi="Tahoma" w:cs="Tahoma"/>
          <w:sz w:val="18"/>
          <w:szCs w:val="18"/>
          <w:lang w:val="ru-RU"/>
        </w:rPr>
        <w:t>3</w:t>
      </w:r>
      <w:r w:rsidR="00431EFB" w:rsidRPr="00150D48">
        <w:rPr>
          <w:rFonts w:ascii="Tahoma" w:hAnsi="Tahoma" w:cs="Tahoma"/>
          <w:sz w:val="18"/>
          <w:szCs w:val="18"/>
          <w:lang w:val="ru-RU"/>
        </w:rPr>
        <w:t>,</w:t>
      </w:r>
      <w:r w:rsidR="00D15ED3" w:rsidRPr="00150D48">
        <w:rPr>
          <w:rFonts w:ascii="Tahoma" w:hAnsi="Tahoma" w:cs="Tahoma"/>
          <w:sz w:val="18"/>
          <w:szCs w:val="18"/>
          <w:lang w:val="ru-RU"/>
        </w:rPr>
        <w:t>4</w:t>
      </w:r>
      <w:r w:rsidR="00431EFB" w:rsidRPr="00150D48">
        <w:rPr>
          <w:rFonts w:ascii="Tahoma" w:hAnsi="Tahoma" w:cs="Tahoma"/>
          <w:sz w:val="18"/>
          <w:szCs w:val="18"/>
          <w:lang w:val="ru-RU"/>
        </w:rPr>
        <w:t xml:space="preserve">%. </w:t>
      </w:r>
    </w:p>
    <w:p w:rsidR="0017306E" w:rsidRPr="00150D48" w:rsidRDefault="0017306E" w:rsidP="0020048F">
      <w:pPr>
        <w:jc w:val="both"/>
        <w:rPr>
          <w:rFonts w:ascii="Tahoma" w:hAnsi="Tahoma" w:cs="Tahoma"/>
          <w:sz w:val="16"/>
          <w:szCs w:val="16"/>
          <w:lang w:val="ru-RU"/>
        </w:rPr>
      </w:pPr>
    </w:p>
    <w:p w:rsidR="007F09DE" w:rsidRPr="00150D48" w:rsidRDefault="007F09D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</w:rPr>
      </w:pPr>
    </w:p>
    <w:p w:rsidR="008C133D" w:rsidRPr="00150D48" w:rsidRDefault="008C133D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sr-Cyrl-CS"/>
        </w:rPr>
      </w:pPr>
    </w:p>
    <w:p w:rsidR="0017306E" w:rsidRPr="00150D48" w:rsidRDefault="00B61FD5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  <w:r w:rsidRPr="00150D48">
        <w:rPr>
          <w:rFonts w:ascii="Tahoma" w:hAnsi="Tahoma" w:cs="Tahoma"/>
          <w:b/>
          <w:sz w:val="28"/>
          <w:szCs w:val="28"/>
          <w:lang w:val="bs-Cyrl-BA"/>
        </w:rPr>
        <w:t>П</w:t>
      </w:r>
      <w:r w:rsidR="0017306E" w:rsidRPr="00150D48">
        <w:rPr>
          <w:rFonts w:ascii="Tahoma" w:hAnsi="Tahoma" w:cs="Tahoma"/>
          <w:b/>
          <w:sz w:val="28"/>
          <w:szCs w:val="28"/>
          <w:lang w:val="ru-RU"/>
        </w:rPr>
        <w:t>окривеност увоза извозом</w:t>
      </w:r>
      <w:r w:rsidRPr="00150D48">
        <w:rPr>
          <w:rFonts w:ascii="Tahoma" w:hAnsi="Tahoma" w:cs="Tahoma"/>
          <w:b/>
          <w:sz w:val="28"/>
          <w:szCs w:val="28"/>
          <w:lang w:val="sr-Cyrl-BA"/>
        </w:rPr>
        <w:t xml:space="preserve"> (</w:t>
      </w:r>
      <w:r w:rsidRPr="00150D48">
        <w:rPr>
          <w:rFonts w:ascii="Tahoma" w:hAnsi="Tahoma" w:cs="Tahoma"/>
          <w:b/>
          <w:sz w:val="28"/>
          <w:szCs w:val="28"/>
        </w:rPr>
        <w:t>I</w:t>
      </w:r>
      <w:r w:rsidRPr="00150D48">
        <w:rPr>
          <w:rFonts w:ascii="Tahoma" w:hAnsi="Tahoma" w:cs="Tahoma"/>
          <w:b/>
          <w:sz w:val="28"/>
          <w:szCs w:val="28"/>
          <w:lang w:val="ru-RU"/>
        </w:rPr>
        <w:t xml:space="preserve"> – </w:t>
      </w:r>
      <w:r w:rsidR="00C80EE0" w:rsidRPr="00150D48">
        <w:rPr>
          <w:rFonts w:ascii="Tahoma" w:hAnsi="Tahoma" w:cs="Tahoma"/>
          <w:b/>
          <w:sz w:val="28"/>
          <w:szCs w:val="28"/>
        </w:rPr>
        <w:t>X</w:t>
      </w:r>
      <w:r w:rsidR="00CB132F" w:rsidRPr="00150D48">
        <w:rPr>
          <w:rFonts w:ascii="Tahoma" w:hAnsi="Tahoma" w:cs="Tahoma"/>
          <w:b/>
          <w:sz w:val="28"/>
          <w:szCs w:val="28"/>
        </w:rPr>
        <w:t>I</w:t>
      </w:r>
      <w:r w:rsidRPr="00150D48">
        <w:rPr>
          <w:rFonts w:ascii="Tahoma" w:hAnsi="Tahoma" w:cs="Tahoma"/>
          <w:b/>
          <w:sz w:val="28"/>
          <w:szCs w:val="28"/>
          <w:lang w:val="ru-RU"/>
        </w:rPr>
        <w:t xml:space="preserve"> 2011.</w:t>
      </w:r>
      <w:r w:rsidRPr="00150D48">
        <w:rPr>
          <w:rFonts w:ascii="Tahoma" w:hAnsi="Tahoma" w:cs="Tahoma"/>
          <w:b/>
          <w:sz w:val="28"/>
          <w:szCs w:val="28"/>
          <w:lang w:val="sr-Cyrl-BA"/>
        </w:rPr>
        <w:t>)</w:t>
      </w:r>
      <w:r w:rsidRPr="00150D48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E9755F" w:rsidRPr="00150D48">
        <w:rPr>
          <w:rFonts w:ascii="Tahoma" w:hAnsi="Tahoma" w:cs="Tahoma"/>
          <w:b/>
          <w:sz w:val="28"/>
          <w:szCs w:val="28"/>
          <w:lang w:val="hr-HR"/>
        </w:rPr>
        <w:t>5</w:t>
      </w:r>
      <w:r w:rsidR="003B0DFC" w:rsidRPr="00150D48">
        <w:rPr>
          <w:rFonts w:ascii="Tahoma" w:hAnsi="Tahoma" w:cs="Tahoma"/>
          <w:b/>
          <w:sz w:val="28"/>
          <w:szCs w:val="28"/>
          <w:lang w:val="hr-HR"/>
        </w:rPr>
        <w:t>7</w:t>
      </w:r>
      <w:r w:rsidR="005E1630" w:rsidRPr="00150D48">
        <w:rPr>
          <w:rFonts w:ascii="Tahoma" w:hAnsi="Tahoma" w:cs="Tahoma"/>
          <w:b/>
          <w:sz w:val="28"/>
          <w:szCs w:val="28"/>
          <w:lang w:val="ru-RU"/>
        </w:rPr>
        <w:t>,</w:t>
      </w:r>
      <w:r w:rsidR="001D2625" w:rsidRPr="00150D48">
        <w:rPr>
          <w:rFonts w:ascii="Tahoma" w:hAnsi="Tahoma" w:cs="Tahoma"/>
          <w:b/>
          <w:sz w:val="28"/>
          <w:szCs w:val="28"/>
        </w:rPr>
        <w:t>1</w:t>
      </w:r>
      <w:r w:rsidR="005E1630" w:rsidRPr="00150D48">
        <w:rPr>
          <w:rFonts w:ascii="Tahoma" w:hAnsi="Tahoma" w:cs="Tahoma"/>
          <w:b/>
          <w:sz w:val="28"/>
          <w:szCs w:val="28"/>
          <w:lang w:val="ru-RU"/>
        </w:rPr>
        <w:t xml:space="preserve">% </w:t>
      </w:r>
    </w:p>
    <w:p w:rsidR="0017306E" w:rsidRPr="00150D48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24"/>
          <w:szCs w:val="24"/>
          <w:lang w:val="ru-RU"/>
        </w:rPr>
      </w:pPr>
      <w:r w:rsidRPr="00150D48">
        <w:rPr>
          <w:rFonts w:ascii="Tahoma" w:hAnsi="Tahoma" w:cs="Tahoma"/>
          <w:sz w:val="24"/>
          <w:szCs w:val="24"/>
          <w:lang w:val="sr-Cyrl-CS"/>
        </w:rPr>
        <w:t xml:space="preserve">Извоз </w:t>
      </w:r>
      <w:r w:rsidRPr="00150D48">
        <w:rPr>
          <w:rFonts w:ascii="Tahoma" w:hAnsi="Tahoma" w:cs="Tahoma"/>
          <w:sz w:val="24"/>
          <w:szCs w:val="24"/>
          <w:lang w:val="hr-HR"/>
        </w:rPr>
        <w:t>(I</w:t>
      </w:r>
      <w:r w:rsidR="004A3DCE" w:rsidRPr="00150D48">
        <w:rPr>
          <w:rFonts w:ascii="Tahoma" w:hAnsi="Tahoma" w:cs="Tahoma"/>
          <w:sz w:val="24"/>
          <w:szCs w:val="24"/>
          <w:lang w:val="hr-HR"/>
        </w:rPr>
        <w:t>-</w:t>
      </w:r>
      <w:r w:rsidR="00C80EE0" w:rsidRPr="00150D48">
        <w:rPr>
          <w:rFonts w:ascii="Tahoma" w:hAnsi="Tahoma" w:cs="Tahoma"/>
          <w:sz w:val="24"/>
          <w:szCs w:val="24"/>
          <w:lang w:val="hr-HR"/>
        </w:rPr>
        <w:t>X</w:t>
      </w:r>
      <w:r w:rsidR="00CB132F" w:rsidRPr="00150D48">
        <w:rPr>
          <w:rFonts w:ascii="Tahoma" w:hAnsi="Tahoma" w:cs="Tahoma"/>
          <w:sz w:val="24"/>
          <w:szCs w:val="24"/>
          <w:lang w:val="hr-HR"/>
        </w:rPr>
        <w:t>I</w:t>
      </w:r>
      <w:r w:rsidRPr="00150D48">
        <w:rPr>
          <w:rFonts w:ascii="Tahoma" w:hAnsi="Tahoma" w:cs="Tahoma"/>
          <w:sz w:val="24"/>
          <w:szCs w:val="24"/>
          <w:lang w:val="hr-HR"/>
        </w:rPr>
        <w:t xml:space="preserve"> 2011/I</w:t>
      </w:r>
      <w:r w:rsidR="004A3DCE" w:rsidRPr="00150D48">
        <w:rPr>
          <w:rFonts w:ascii="Tahoma" w:hAnsi="Tahoma" w:cs="Tahoma"/>
          <w:sz w:val="24"/>
          <w:szCs w:val="24"/>
          <w:lang w:val="hr-HR"/>
        </w:rPr>
        <w:t>-</w:t>
      </w:r>
      <w:r w:rsidR="00C80EE0" w:rsidRPr="00150D48">
        <w:rPr>
          <w:rFonts w:ascii="Tahoma" w:hAnsi="Tahoma" w:cs="Tahoma"/>
          <w:sz w:val="24"/>
          <w:szCs w:val="24"/>
          <w:lang w:val="hr-HR"/>
        </w:rPr>
        <w:t>X</w:t>
      </w:r>
      <w:r w:rsidR="00CB132F" w:rsidRPr="00150D48">
        <w:rPr>
          <w:rFonts w:ascii="Tahoma" w:hAnsi="Tahoma" w:cs="Tahoma"/>
          <w:sz w:val="24"/>
          <w:szCs w:val="24"/>
          <w:lang w:val="hr-HR"/>
        </w:rPr>
        <w:t>I</w:t>
      </w:r>
      <w:r w:rsidRPr="00150D48">
        <w:rPr>
          <w:rFonts w:ascii="Tahoma" w:hAnsi="Tahoma" w:cs="Tahoma"/>
          <w:sz w:val="24"/>
          <w:szCs w:val="24"/>
          <w:lang w:val="hr-HR"/>
        </w:rPr>
        <w:t xml:space="preserve"> 2010</w:t>
      </w:r>
      <w:r w:rsidR="002F67AB" w:rsidRPr="00150D48">
        <w:rPr>
          <w:rFonts w:ascii="Tahoma" w:hAnsi="Tahoma" w:cs="Tahoma"/>
          <w:sz w:val="24"/>
          <w:szCs w:val="24"/>
          <w:lang w:val="sr-Cyrl-CS"/>
        </w:rPr>
        <w:t>.</w:t>
      </w:r>
      <w:r w:rsidRPr="00150D48">
        <w:rPr>
          <w:rFonts w:ascii="Tahoma" w:hAnsi="Tahoma" w:cs="Tahoma"/>
          <w:sz w:val="24"/>
          <w:szCs w:val="24"/>
          <w:lang w:val="hr-HR"/>
        </w:rPr>
        <w:t xml:space="preserve">) </w:t>
      </w:r>
      <w:r w:rsidRPr="00150D48">
        <w:rPr>
          <w:rFonts w:ascii="Tahoma" w:hAnsi="Tahoma" w:cs="Tahoma"/>
          <w:sz w:val="24"/>
          <w:szCs w:val="24"/>
          <w:lang w:val="sr-Cyrl-BA"/>
        </w:rPr>
        <w:t xml:space="preserve">повећан </w:t>
      </w:r>
      <w:r w:rsidR="00B040ED" w:rsidRPr="00150D48">
        <w:rPr>
          <w:rFonts w:ascii="Tahoma" w:hAnsi="Tahoma" w:cs="Tahoma"/>
          <w:sz w:val="24"/>
          <w:szCs w:val="24"/>
        </w:rPr>
        <w:t>1</w:t>
      </w:r>
      <w:r w:rsidR="00C80EE0" w:rsidRPr="00150D48">
        <w:rPr>
          <w:rFonts w:ascii="Tahoma" w:hAnsi="Tahoma" w:cs="Tahoma"/>
          <w:sz w:val="24"/>
          <w:szCs w:val="24"/>
          <w:lang w:val="sr-Cyrl-BA"/>
        </w:rPr>
        <w:t>8</w:t>
      </w:r>
      <w:r w:rsidRPr="00150D48">
        <w:rPr>
          <w:rFonts w:ascii="Tahoma" w:hAnsi="Tahoma" w:cs="Tahoma"/>
          <w:sz w:val="24"/>
          <w:szCs w:val="24"/>
          <w:lang w:val="ru-RU"/>
        </w:rPr>
        <w:t>,</w:t>
      </w:r>
      <w:r w:rsidR="00CB132F" w:rsidRPr="00150D48">
        <w:rPr>
          <w:rFonts w:ascii="Tahoma" w:hAnsi="Tahoma" w:cs="Tahoma"/>
          <w:sz w:val="24"/>
          <w:szCs w:val="24"/>
        </w:rPr>
        <w:t>0</w:t>
      </w:r>
      <w:r w:rsidRPr="00150D48">
        <w:rPr>
          <w:rFonts w:ascii="Tahoma" w:hAnsi="Tahoma" w:cs="Tahoma"/>
          <w:sz w:val="24"/>
          <w:szCs w:val="24"/>
          <w:lang w:val="ru-RU"/>
        </w:rPr>
        <w:t>%</w:t>
      </w:r>
    </w:p>
    <w:p w:rsidR="0017306E" w:rsidRPr="00150D48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6A5F98" w:rsidRPr="00150D48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  <w:r w:rsidRPr="00150D48">
        <w:rPr>
          <w:rFonts w:ascii="Tahoma" w:hAnsi="Tahoma" w:cs="Tahoma"/>
          <w:sz w:val="18"/>
          <w:szCs w:val="18"/>
          <w:lang w:val="sr-Cyrl-BA"/>
        </w:rPr>
        <w:t xml:space="preserve">У оквиру </w:t>
      </w:r>
      <w:r w:rsidR="00211CC7" w:rsidRPr="00150D48">
        <w:rPr>
          <w:rFonts w:ascii="Tahoma" w:hAnsi="Tahoma" w:cs="Tahoma"/>
          <w:sz w:val="18"/>
          <w:szCs w:val="18"/>
          <w:lang w:val="sr-Cyrl-BA"/>
        </w:rPr>
        <w:t>укупно остварен</w:t>
      </w:r>
      <w:r w:rsidR="00211CC7" w:rsidRPr="00150D48">
        <w:rPr>
          <w:rFonts w:ascii="Tahoma" w:hAnsi="Tahoma" w:cs="Tahoma"/>
          <w:sz w:val="18"/>
          <w:szCs w:val="18"/>
          <w:lang w:val="bs-Cyrl-BA"/>
        </w:rPr>
        <w:t>е</w:t>
      </w:r>
      <w:r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211CC7" w:rsidRPr="00150D48">
        <w:rPr>
          <w:rFonts w:ascii="Tahoma" w:hAnsi="Tahoma" w:cs="Tahoma"/>
          <w:sz w:val="18"/>
          <w:szCs w:val="18"/>
          <w:lang w:val="sr-Cyrl-BA"/>
        </w:rPr>
        <w:t xml:space="preserve">робне размјене </w:t>
      </w:r>
      <w:r w:rsidRPr="00150D48">
        <w:rPr>
          <w:rFonts w:ascii="Tahoma" w:hAnsi="Tahoma" w:cs="Tahoma"/>
          <w:sz w:val="18"/>
          <w:szCs w:val="18"/>
          <w:lang w:val="sr-Cyrl-BA"/>
        </w:rPr>
        <w:t>Р</w:t>
      </w:r>
      <w:r w:rsidRPr="00150D48">
        <w:rPr>
          <w:rFonts w:ascii="Tahoma" w:hAnsi="Tahoma" w:cs="Tahoma"/>
          <w:sz w:val="18"/>
          <w:szCs w:val="18"/>
          <w:lang w:val="bs-Cyrl-BA"/>
        </w:rPr>
        <w:t xml:space="preserve">епублике </w:t>
      </w:r>
      <w:r w:rsidRPr="00150D48">
        <w:rPr>
          <w:rFonts w:ascii="Tahoma" w:hAnsi="Tahoma" w:cs="Tahoma"/>
          <w:sz w:val="18"/>
          <w:szCs w:val="18"/>
          <w:lang w:val="sr-Cyrl-BA"/>
        </w:rPr>
        <w:t xml:space="preserve">Српске </w:t>
      </w:r>
      <w:r w:rsidR="00211CC7" w:rsidRPr="00150D48">
        <w:rPr>
          <w:rFonts w:ascii="Tahoma" w:hAnsi="Tahoma" w:cs="Tahoma"/>
          <w:sz w:val="18"/>
          <w:szCs w:val="18"/>
          <w:lang w:val="sr-Cyrl-BA"/>
        </w:rPr>
        <w:t xml:space="preserve">са иностранством </w:t>
      </w:r>
      <w:r w:rsidRPr="00150D48">
        <w:rPr>
          <w:rFonts w:ascii="Tahoma" w:hAnsi="Tahoma" w:cs="Tahoma"/>
          <w:sz w:val="18"/>
          <w:szCs w:val="18"/>
          <w:lang w:val="sr-Cyrl-BA"/>
        </w:rPr>
        <w:t xml:space="preserve">у </w:t>
      </w:r>
      <w:r w:rsidR="00CB132F" w:rsidRPr="00150D48">
        <w:rPr>
          <w:rFonts w:ascii="Tahoma" w:hAnsi="Tahoma" w:cs="Tahoma"/>
          <w:sz w:val="18"/>
          <w:szCs w:val="18"/>
          <w:lang w:val="sr-Cyrl-BA"/>
        </w:rPr>
        <w:t xml:space="preserve">новембру </w:t>
      </w:r>
      <w:r w:rsidRPr="00150D48">
        <w:rPr>
          <w:rFonts w:ascii="Tahoma" w:hAnsi="Tahoma" w:cs="Tahoma"/>
          <w:sz w:val="18"/>
          <w:szCs w:val="18"/>
          <w:lang w:val="sr-Cyrl-BA"/>
        </w:rPr>
        <w:t xml:space="preserve">ове године, проценат покривености увоза извозом износио је </w:t>
      </w:r>
      <w:r w:rsidR="00A57853" w:rsidRPr="00150D48">
        <w:rPr>
          <w:rFonts w:ascii="Tahoma" w:hAnsi="Tahoma" w:cs="Tahoma"/>
          <w:sz w:val="18"/>
          <w:szCs w:val="18"/>
          <w:lang w:val="sr-Cyrl-BA"/>
        </w:rPr>
        <w:t>5</w:t>
      </w:r>
      <w:r w:rsidR="00CB132F" w:rsidRPr="00150D48">
        <w:rPr>
          <w:rFonts w:ascii="Tahoma" w:hAnsi="Tahoma" w:cs="Tahoma"/>
          <w:sz w:val="18"/>
          <w:szCs w:val="18"/>
          <w:lang w:val="sr-Cyrl-BA"/>
        </w:rPr>
        <w:t>7</w:t>
      </w:r>
      <w:r w:rsidRPr="00150D48">
        <w:rPr>
          <w:rFonts w:ascii="Tahoma" w:hAnsi="Tahoma" w:cs="Tahoma"/>
          <w:sz w:val="18"/>
          <w:szCs w:val="18"/>
          <w:lang w:val="sr-Cyrl-BA"/>
        </w:rPr>
        <w:t>,</w:t>
      </w:r>
      <w:r w:rsidR="00CB132F" w:rsidRPr="00150D48">
        <w:rPr>
          <w:rFonts w:ascii="Tahoma" w:hAnsi="Tahoma" w:cs="Tahoma"/>
          <w:sz w:val="18"/>
          <w:szCs w:val="18"/>
          <w:lang w:val="sr-Cyrl-BA"/>
        </w:rPr>
        <w:t>2</w:t>
      </w:r>
      <w:r w:rsidRPr="00150D48">
        <w:rPr>
          <w:rFonts w:ascii="Tahoma" w:hAnsi="Tahoma" w:cs="Tahoma"/>
          <w:sz w:val="18"/>
          <w:szCs w:val="18"/>
          <w:lang w:val="sr-Cyrl-BA"/>
        </w:rPr>
        <w:t>%.</w:t>
      </w:r>
      <w:r w:rsidR="006A5F98" w:rsidRPr="00150D48">
        <w:rPr>
          <w:rFonts w:ascii="Tahoma" w:hAnsi="Tahoma" w:cs="Tahoma"/>
          <w:sz w:val="18"/>
          <w:szCs w:val="18"/>
          <w:lang w:val="sr-Cyrl-BA"/>
        </w:rPr>
        <w:t xml:space="preserve"> У </w:t>
      </w:r>
      <w:r w:rsidR="00CB132F" w:rsidRPr="00150D48">
        <w:rPr>
          <w:rFonts w:ascii="Tahoma" w:hAnsi="Tahoma" w:cs="Tahoma"/>
          <w:sz w:val="18"/>
          <w:szCs w:val="18"/>
          <w:lang w:val="sr-Cyrl-BA"/>
        </w:rPr>
        <w:t>новембру</w:t>
      </w:r>
      <w:r w:rsidR="001D2625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6A5F98" w:rsidRPr="00150D48">
        <w:rPr>
          <w:rFonts w:ascii="Tahoma" w:hAnsi="Tahoma" w:cs="Tahoma"/>
          <w:sz w:val="18"/>
          <w:szCs w:val="18"/>
          <w:lang w:val="sr-Cyrl-BA"/>
        </w:rPr>
        <w:t>2011. године, остварен је извоз у вриједности 2</w:t>
      </w:r>
      <w:r w:rsidR="001D2625" w:rsidRPr="00150D48">
        <w:rPr>
          <w:rFonts w:ascii="Tahoma" w:hAnsi="Tahoma" w:cs="Tahoma"/>
          <w:sz w:val="18"/>
          <w:szCs w:val="18"/>
          <w:lang w:val="sr-Cyrl-BA"/>
        </w:rPr>
        <w:t>2</w:t>
      </w:r>
      <w:r w:rsidR="00CB132F" w:rsidRPr="00150D48">
        <w:rPr>
          <w:rFonts w:ascii="Tahoma" w:hAnsi="Tahoma" w:cs="Tahoma"/>
          <w:sz w:val="18"/>
          <w:szCs w:val="18"/>
          <w:lang w:val="sr-Cyrl-BA"/>
        </w:rPr>
        <w:t>4</w:t>
      </w:r>
      <w:r w:rsidR="006A5F98" w:rsidRPr="00150D48">
        <w:rPr>
          <w:rFonts w:ascii="Tahoma" w:hAnsi="Tahoma" w:cs="Tahoma"/>
          <w:sz w:val="18"/>
          <w:szCs w:val="18"/>
          <w:lang w:val="sr-Cyrl-BA"/>
        </w:rPr>
        <w:t xml:space="preserve"> милион</w:t>
      </w:r>
      <w:r w:rsidR="00E053E5" w:rsidRPr="00150D48">
        <w:rPr>
          <w:rFonts w:ascii="Tahoma" w:hAnsi="Tahoma" w:cs="Tahoma"/>
          <w:sz w:val="18"/>
          <w:szCs w:val="18"/>
          <w:lang w:val="sr-Cyrl-BA"/>
        </w:rPr>
        <w:t>а</w:t>
      </w:r>
      <w:r w:rsidR="00E9755F" w:rsidRPr="00150D48">
        <w:rPr>
          <w:rFonts w:ascii="Tahoma" w:hAnsi="Tahoma" w:cs="Tahoma"/>
          <w:sz w:val="18"/>
          <w:szCs w:val="18"/>
          <w:lang w:val="sr-Cyrl-BA"/>
        </w:rPr>
        <w:t xml:space="preserve"> КМ и увоз у вриједности од </w:t>
      </w:r>
      <w:r w:rsidR="001D2625" w:rsidRPr="00150D48">
        <w:rPr>
          <w:rFonts w:ascii="Tahoma" w:hAnsi="Tahoma" w:cs="Tahoma"/>
          <w:sz w:val="18"/>
          <w:szCs w:val="18"/>
          <w:lang w:val="sr-Cyrl-BA"/>
        </w:rPr>
        <w:t>39</w:t>
      </w:r>
      <w:r w:rsidR="00CB132F" w:rsidRPr="00150D48">
        <w:rPr>
          <w:rFonts w:ascii="Tahoma" w:hAnsi="Tahoma" w:cs="Tahoma"/>
          <w:sz w:val="18"/>
          <w:szCs w:val="18"/>
          <w:lang w:val="sr-Cyrl-BA"/>
        </w:rPr>
        <w:t>2</w:t>
      </w:r>
      <w:r w:rsidR="001D2625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6A5F98" w:rsidRPr="00150D48">
        <w:rPr>
          <w:rFonts w:ascii="Tahoma" w:hAnsi="Tahoma" w:cs="Tahoma"/>
          <w:sz w:val="18"/>
          <w:szCs w:val="18"/>
          <w:lang w:val="sr-Cyrl-BA"/>
        </w:rPr>
        <w:t>милиона КМ.</w:t>
      </w:r>
    </w:p>
    <w:p w:rsidR="0017306E" w:rsidRPr="00150D48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17306E" w:rsidRPr="00150D48" w:rsidRDefault="0017306E" w:rsidP="0020048F">
      <w:pPr>
        <w:jc w:val="both"/>
        <w:rPr>
          <w:rFonts w:ascii="Tahoma" w:hAnsi="Tahoma" w:cs="Tahoma"/>
          <w:sz w:val="18"/>
          <w:szCs w:val="18"/>
          <w:lang w:val="sr-Cyrl-BA"/>
        </w:rPr>
      </w:pPr>
      <w:r w:rsidRPr="00150D48">
        <w:rPr>
          <w:rFonts w:ascii="Tahoma" w:hAnsi="Tahoma" w:cs="Tahoma"/>
          <w:sz w:val="18"/>
          <w:szCs w:val="18"/>
          <w:lang w:val="sr-Cyrl-BA"/>
        </w:rPr>
        <w:t xml:space="preserve">У </w:t>
      </w:r>
      <w:r w:rsidR="00B61FD5" w:rsidRPr="00150D48">
        <w:rPr>
          <w:rFonts w:ascii="Tahoma" w:hAnsi="Tahoma" w:cs="Tahoma"/>
          <w:sz w:val="18"/>
          <w:szCs w:val="18"/>
          <w:lang w:val="sr-Cyrl-BA"/>
        </w:rPr>
        <w:t xml:space="preserve">периоду </w:t>
      </w:r>
      <w:r w:rsidRPr="00150D48">
        <w:rPr>
          <w:rFonts w:ascii="Tahoma" w:hAnsi="Tahoma" w:cs="Tahoma"/>
          <w:sz w:val="18"/>
          <w:szCs w:val="18"/>
          <w:lang w:val="sr-Cyrl-BA"/>
        </w:rPr>
        <w:t>јануар</w:t>
      </w:r>
      <w:r w:rsidR="00B61FD5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B040ED" w:rsidRPr="00150D48">
        <w:rPr>
          <w:rFonts w:ascii="Tahoma" w:hAnsi="Tahoma" w:cs="Tahoma"/>
          <w:sz w:val="18"/>
          <w:szCs w:val="18"/>
          <w:lang w:val="sr-Cyrl-BA"/>
        </w:rPr>
        <w:t>–</w:t>
      </w:r>
      <w:r w:rsidR="00B61FD5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CB132F" w:rsidRPr="00150D48">
        <w:rPr>
          <w:rFonts w:ascii="Tahoma" w:hAnsi="Tahoma" w:cs="Tahoma"/>
          <w:sz w:val="18"/>
          <w:szCs w:val="18"/>
          <w:lang w:val="sr-Cyrl-BA"/>
        </w:rPr>
        <w:t>новембар</w:t>
      </w:r>
      <w:r w:rsidR="001D2625" w:rsidRPr="00150D48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2011. године остварен је извоз у вриједности од </w:t>
      </w:r>
      <w:r w:rsidR="001D2625" w:rsidRPr="00150D48">
        <w:rPr>
          <w:rFonts w:ascii="Tahoma" w:hAnsi="Tahoma" w:cs="Tahoma"/>
          <w:sz w:val="18"/>
          <w:szCs w:val="18"/>
          <w:lang w:val="sr-Cyrl-CS"/>
        </w:rPr>
        <w:t xml:space="preserve">2 </w:t>
      </w:r>
      <w:r w:rsidR="004A3DCE" w:rsidRPr="00150D48">
        <w:rPr>
          <w:rFonts w:ascii="Tahoma" w:hAnsi="Tahoma" w:cs="Tahoma"/>
          <w:sz w:val="18"/>
          <w:szCs w:val="18"/>
          <w:lang w:val="sr-Cyrl-CS"/>
        </w:rPr>
        <w:t>милијард</w:t>
      </w:r>
      <w:r w:rsidR="001D2625" w:rsidRPr="00150D48">
        <w:rPr>
          <w:rFonts w:ascii="Tahoma" w:hAnsi="Tahoma" w:cs="Tahoma"/>
          <w:sz w:val="18"/>
          <w:szCs w:val="18"/>
          <w:lang w:val="sr-Cyrl-CS"/>
        </w:rPr>
        <w:t>е</w:t>
      </w:r>
      <w:r w:rsidR="00A23800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CB132F" w:rsidRPr="00150D48">
        <w:rPr>
          <w:rFonts w:ascii="Tahoma" w:hAnsi="Tahoma" w:cs="Tahoma"/>
          <w:sz w:val="18"/>
          <w:szCs w:val="18"/>
          <w:lang w:val="sr-Cyrl-CS"/>
        </w:rPr>
        <w:t>357</w:t>
      </w:r>
      <w:r w:rsidR="001D26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B61FD5" w:rsidRPr="00150D48">
        <w:rPr>
          <w:rFonts w:ascii="Tahoma" w:hAnsi="Tahoma" w:cs="Tahoma"/>
          <w:sz w:val="18"/>
          <w:szCs w:val="18"/>
          <w:lang w:val="sr-Cyrl-CS"/>
        </w:rPr>
        <w:t>милион</w:t>
      </w:r>
      <w:r w:rsidR="00584618" w:rsidRPr="00150D48">
        <w:rPr>
          <w:rFonts w:ascii="Tahoma" w:hAnsi="Tahoma" w:cs="Tahoma"/>
          <w:sz w:val="18"/>
          <w:szCs w:val="18"/>
        </w:rPr>
        <w:t>a</w:t>
      </w:r>
      <w:r w:rsidR="00B61FD5" w:rsidRPr="00150D48">
        <w:rPr>
          <w:rFonts w:ascii="Tahoma" w:hAnsi="Tahoma" w:cs="Tahoma"/>
          <w:sz w:val="18"/>
          <w:szCs w:val="18"/>
          <w:lang w:val="sr-Cyrl-CS"/>
        </w:rPr>
        <w:t xml:space="preserve"> КМ, што је за </w:t>
      </w:r>
      <w:r w:rsidR="00B040ED" w:rsidRPr="00150D48">
        <w:rPr>
          <w:rFonts w:ascii="Tahoma" w:hAnsi="Tahoma" w:cs="Tahoma"/>
          <w:sz w:val="18"/>
          <w:szCs w:val="18"/>
          <w:lang w:val="sr-Cyrl-CS"/>
        </w:rPr>
        <w:t>1</w:t>
      </w:r>
      <w:r w:rsidR="00C80EE0" w:rsidRPr="00150D48">
        <w:rPr>
          <w:rFonts w:ascii="Tahoma" w:hAnsi="Tahoma" w:cs="Tahoma"/>
          <w:sz w:val="18"/>
          <w:szCs w:val="18"/>
          <w:lang w:val="sr-Cyrl-CS"/>
        </w:rPr>
        <w:t>8</w:t>
      </w:r>
      <w:r w:rsidRPr="00150D48">
        <w:rPr>
          <w:rFonts w:ascii="Tahoma" w:hAnsi="Tahoma" w:cs="Tahoma"/>
          <w:sz w:val="18"/>
          <w:szCs w:val="18"/>
          <w:lang w:val="sr-Cyrl-CS"/>
        </w:rPr>
        <w:t>,</w:t>
      </w:r>
      <w:r w:rsidR="00AF78D3" w:rsidRPr="00150D48">
        <w:rPr>
          <w:rFonts w:ascii="Tahoma" w:hAnsi="Tahoma" w:cs="Tahoma"/>
          <w:sz w:val="18"/>
          <w:szCs w:val="18"/>
          <w:lang w:val="sr-Cyrl-CS"/>
        </w:rPr>
        <w:t>0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% више у односу на исти </w:t>
      </w:r>
      <w:r w:rsidR="00B61FD5" w:rsidRPr="00150D48">
        <w:rPr>
          <w:rFonts w:ascii="Tahoma" w:hAnsi="Tahoma" w:cs="Tahoma"/>
          <w:sz w:val="18"/>
          <w:szCs w:val="18"/>
          <w:lang w:val="sr-Cyrl-CS"/>
        </w:rPr>
        <w:t>период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претходне године. Увоз је, у истом периоду, износио </w:t>
      </w:r>
      <w:r w:rsidR="00AF78D3" w:rsidRPr="00150D48">
        <w:rPr>
          <w:rFonts w:ascii="Tahoma" w:hAnsi="Tahoma" w:cs="Tahoma"/>
          <w:sz w:val="18"/>
          <w:szCs w:val="18"/>
          <w:lang w:val="sr-Cyrl-CS"/>
        </w:rPr>
        <w:t>4</w:t>
      </w:r>
      <w:r w:rsidR="00E9755F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4A3DCE" w:rsidRPr="00150D48">
        <w:rPr>
          <w:rFonts w:ascii="Tahoma" w:hAnsi="Tahoma" w:cs="Tahoma"/>
          <w:sz w:val="18"/>
          <w:szCs w:val="18"/>
          <w:lang w:val="sr-Cyrl-CS"/>
        </w:rPr>
        <w:t>милијард</w:t>
      </w:r>
      <w:r w:rsidR="00E9755F" w:rsidRPr="00150D48">
        <w:rPr>
          <w:rFonts w:ascii="Tahoma" w:hAnsi="Tahoma" w:cs="Tahoma"/>
          <w:sz w:val="18"/>
          <w:szCs w:val="18"/>
          <w:lang w:val="sr-Cyrl-CS"/>
        </w:rPr>
        <w:t>е</w:t>
      </w:r>
      <w:r w:rsidR="001D26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AF78D3" w:rsidRPr="00150D48">
        <w:rPr>
          <w:rFonts w:ascii="Tahoma" w:hAnsi="Tahoma" w:cs="Tahoma"/>
          <w:sz w:val="18"/>
          <w:szCs w:val="18"/>
          <w:lang w:val="sr-Cyrl-CS"/>
        </w:rPr>
        <w:t>125</w:t>
      </w:r>
      <w:r w:rsidR="00A57853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B61FD5" w:rsidRPr="00150D48">
        <w:rPr>
          <w:rFonts w:ascii="Tahoma" w:hAnsi="Tahoma" w:cs="Tahoma"/>
          <w:sz w:val="18"/>
          <w:szCs w:val="18"/>
          <w:lang w:val="sr-Cyrl-CS"/>
        </w:rPr>
        <w:t>милиона КМ, што је за 1</w:t>
      </w:r>
      <w:r w:rsidR="00C80EE0" w:rsidRPr="00150D48">
        <w:rPr>
          <w:rFonts w:ascii="Tahoma" w:hAnsi="Tahoma" w:cs="Tahoma"/>
          <w:sz w:val="18"/>
          <w:szCs w:val="18"/>
          <w:lang w:val="sr-Cyrl-CS"/>
        </w:rPr>
        <w:t>2</w:t>
      </w:r>
      <w:r w:rsidRPr="00150D48">
        <w:rPr>
          <w:rFonts w:ascii="Tahoma" w:hAnsi="Tahoma" w:cs="Tahoma"/>
          <w:sz w:val="18"/>
          <w:szCs w:val="18"/>
          <w:lang w:val="sr-Cyrl-CS"/>
        </w:rPr>
        <w:t>,</w:t>
      </w:r>
      <w:r w:rsidR="00AF78D3" w:rsidRPr="00150D48">
        <w:rPr>
          <w:rFonts w:ascii="Tahoma" w:hAnsi="Tahoma" w:cs="Tahoma"/>
          <w:sz w:val="18"/>
          <w:szCs w:val="18"/>
          <w:lang w:val="sr-Cyrl-CS"/>
        </w:rPr>
        <w:t>1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% више у односу на исти </w:t>
      </w:r>
      <w:r w:rsidR="00B61FD5" w:rsidRPr="00150D48">
        <w:rPr>
          <w:rFonts w:ascii="Tahoma" w:hAnsi="Tahoma" w:cs="Tahoma"/>
          <w:sz w:val="18"/>
          <w:szCs w:val="18"/>
          <w:lang w:val="sr-Cyrl-CS"/>
        </w:rPr>
        <w:t xml:space="preserve">период </w:t>
      </w:r>
      <w:r w:rsidRPr="00150D48">
        <w:rPr>
          <w:rFonts w:ascii="Tahoma" w:hAnsi="Tahoma" w:cs="Tahoma"/>
          <w:sz w:val="18"/>
          <w:szCs w:val="18"/>
          <w:lang w:val="sr-Cyrl-CS"/>
        </w:rPr>
        <w:t>претходне године.</w:t>
      </w:r>
    </w:p>
    <w:p w:rsidR="0017306E" w:rsidRPr="00150D48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17306E" w:rsidRPr="00150D48" w:rsidRDefault="00B61FD5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150D48">
        <w:rPr>
          <w:rFonts w:ascii="Tahoma" w:hAnsi="Tahoma" w:cs="Tahoma"/>
          <w:sz w:val="18"/>
          <w:szCs w:val="18"/>
          <w:lang w:val="ru-RU"/>
        </w:rPr>
        <w:t xml:space="preserve">Проценат покривености увоза извозом за </w:t>
      </w:r>
      <w:r w:rsidR="005E0F42" w:rsidRPr="00150D48">
        <w:rPr>
          <w:rFonts w:ascii="Tahoma" w:hAnsi="Tahoma" w:cs="Tahoma"/>
          <w:sz w:val="18"/>
          <w:szCs w:val="18"/>
          <w:lang w:val="ru-RU"/>
        </w:rPr>
        <w:t xml:space="preserve">првих </w:t>
      </w:r>
      <w:r w:rsidR="00AF78D3" w:rsidRPr="00150D48">
        <w:rPr>
          <w:rFonts w:ascii="Tahoma" w:hAnsi="Tahoma" w:cs="Tahoma"/>
          <w:sz w:val="18"/>
          <w:szCs w:val="18"/>
          <w:lang w:val="bs-Cyrl-BA"/>
        </w:rPr>
        <w:t>једанаест</w:t>
      </w:r>
      <w:r w:rsidR="003B0DFC" w:rsidRPr="00150D48">
        <w:rPr>
          <w:rFonts w:ascii="Tahoma" w:hAnsi="Tahoma" w:cs="Tahoma"/>
          <w:sz w:val="18"/>
          <w:szCs w:val="18"/>
          <w:lang w:val="bs-Cyrl-BA"/>
        </w:rPr>
        <w:t xml:space="preserve"> </w:t>
      </w:r>
      <w:r w:rsidR="004A3DCE" w:rsidRPr="00150D48">
        <w:rPr>
          <w:rFonts w:ascii="Tahoma" w:hAnsi="Tahoma" w:cs="Tahoma"/>
          <w:sz w:val="18"/>
          <w:szCs w:val="18"/>
          <w:lang w:val="ru-RU"/>
        </w:rPr>
        <w:t>мјесеци</w:t>
      </w:r>
      <w:r w:rsidRPr="00150D48">
        <w:rPr>
          <w:rFonts w:ascii="Tahoma" w:hAnsi="Tahoma" w:cs="Tahoma"/>
          <w:sz w:val="18"/>
          <w:szCs w:val="18"/>
          <w:lang w:val="ru-RU"/>
        </w:rPr>
        <w:t xml:space="preserve"> текуће године износио је </w:t>
      </w:r>
      <w:r w:rsidR="00E9755F" w:rsidRPr="00150D48">
        <w:rPr>
          <w:rFonts w:ascii="Tahoma" w:hAnsi="Tahoma" w:cs="Tahoma"/>
          <w:sz w:val="18"/>
          <w:szCs w:val="18"/>
          <w:lang w:val="ru-RU"/>
        </w:rPr>
        <w:t>5</w:t>
      </w:r>
      <w:r w:rsidR="003B0DFC" w:rsidRPr="00150D48">
        <w:rPr>
          <w:rFonts w:ascii="Tahoma" w:hAnsi="Tahoma" w:cs="Tahoma"/>
          <w:sz w:val="18"/>
          <w:szCs w:val="18"/>
          <w:lang w:val="ru-RU"/>
        </w:rPr>
        <w:t>7</w:t>
      </w:r>
      <w:r w:rsidRPr="00150D48">
        <w:rPr>
          <w:rFonts w:ascii="Tahoma" w:hAnsi="Tahoma" w:cs="Tahoma"/>
          <w:sz w:val="18"/>
          <w:szCs w:val="18"/>
          <w:lang w:val="ru-RU"/>
        </w:rPr>
        <w:t>,</w:t>
      </w:r>
      <w:r w:rsidR="001D2625" w:rsidRPr="00150D48">
        <w:rPr>
          <w:rFonts w:ascii="Tahoma" w:hAnsi="Tahoma" w:cs="Tahoma"/>
          <w:sz w:val="18"/>
          <w:szCs w:val="18"/>
          <w:lang w:val="ru-RU"/>
        </w:rPr>
        <w:t>1</w:t>
      </w:r>
      <w:r w:rsidRPr="00150D48">
        <w:rPr>
          <w:rFonts w:ascii="Tahoma" w:hAnsi="Tahoma" w:cs="Tahoma"/>
          <w:sz w:val="18"/>
          <w:szCs w:val="18"/>
          <w:lang w:val="ru-RU"/>
        </w:rPr>
        <w:t xml:space="preserve">%, док је </w:t>
      </w:r>
      <w:r w:rsidR="0017306E" w:rsidRPr="00150D48">
        <w:rPr>
          <w:rFonts w:ascii="Tahoma" w:hAnsi="Tahoma" w:cs="Tahoma"/>
          <w:sz w:val="18"/>
          <w:szCs w:val="18"/>
          <w:lang w:val="ru-RU"/>
        </w:rPr>
        <w:t xml:space="preserve">спољнотрговински робни дефицит износио </w:t>
      </w:r>
      <w:r w:rsidR="00A57853" w:rsidRPr="00150D48">
        <w:rPr>
          <w:rFonts w:ascii="Tahoma" w:hAnsi="Tahoma" w:cs="Tahoma"/>
          <w:sz w:val="18"/>
          <w:szCs w:val="18"/>
          <w:lang w:val="ru-RU"/>
        </w:rPr>
        <w:t xml:space="preserve">милијарду и </w:t>
      </w:r>
      <w:r w:rsidR="00AF78D3" w:rsidRPr="00150D48">
        <w:rPr>
          <w:rFonts w:ascii="Tahoma" w:hAnsi="Tahoma" w:cs="Tahoma"/>
          <w:sz w:val="18"/>
          <w:szCs w:val="18"/>
          <w:lang w:val="ru-RU"/>
        </w:rPr>
        <w:t>768</w:t>
      </w:r>
      <w:r w:rsidR="003B0DFC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 w:rsidR="0017306E" w:rsidRPr="00150D48">
        <w:rPr>
          <w:rFonts w:ascii="Tahoma" w:hAnsi="Tahoma" w:cs="Tahoma"/>
          <w:sz w:val="18"/>
          <w:szCs w:val="18"/>
          <w:lang w:val="ru-RU"/>
        </w:rPr>
        <w:t>милиона КМ.</w:t>
      </w:r>
    </w:p>
    <w:p w:rsidR="00E053E5" w:rsidRPr="00150D48" w:rsidRDefault="00E053E5" w:rsidP="0020048F">
      <w:pPr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17306E" w:rsidRPr="00150D48" w:rsidRDefault="0017306E" w:rsidP="0020048F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  <w:r w:rsidRPr="00150D48">
        <w:rPr>
          <w:rFonts w:ascii="Tahoma" w:hAnsi="Tahoma" w:cs="Tahoma"/>
          <w:szCs w:val="18"/>
          <w:lang w:val="ru-RU"/>
        </w:rPr>
        <w:t>У погледу географске дистрибуције робне размјене Републик</w:t>
      </w:r>
      <w:r w:rsidRPr="00150D48">
        <w:rPr>
          <w:rFonts w:ascii="Tahoma" w:hAnsi="Tahoma" w:cs="Tahoma"/>
          <w:szCs w:val="18"/>
        </w:rPr>
        <w:t>e</w:t>
      </w:r>
      <w:r w:rsidRPr="00150D48">
        <w:rPr>
          <w:rFonts w:ascii="Tahoma" w:hAnsi="Tahoma" w:cs="Tahoma"/>
          <w:szCs w:val="18"/>
          <w:lang w:val="ru-RU"/>
        </w:rPr>
        <w:t xml:space="preserve"> Српск</w:t>
      </w:r>
      <w:r w:rsidRPr="00150D48">
        <w:rPr>
          <w:rFonts w:ascii="Tahoma" w:hAnsi="Tahoma" w:cs="Tahoma"/>
          <w:szCs w:val="18"/>
        </w:rPr>
        <w:t>e</w:t>
      </w:r>
      <w:r w:rsidRPr="00150D48">
        <w:rPr>
          <w:rFonts w:ascii="Tahoma" w:hAnsi="Tahoma" w:cs="Tahoma"/>
          <w:szCs w:val="18"/>
          <w:lang w:val="ru-RU"/>
        </w:rPr>
        <w:t xml:space="preserve"> с</w:t>
      </w:r>
      <w:r w:rsidR="00211CC7" w:rsidRPr="00150D48">
        <w:rPr>
          <w:rFonts w:ascii="Tahoma" w:hAnsi="Tahoma" w:cs="Tahoma"/>
          <w:szCs w:val="18"/>
          <w:lang w:val="ru-RU"/>
        </w:rPr>
        <w:t>а</w:t>
      </w:r>
      <w:r w:rsidRPr="00150D48">
        <w:rPr>
          <w:rFonts w:ascii="Tahoma" w:hAnsi="Tahoma" w:cs="Tahoma"/>
          <w:szCs w:val="18"/>
          <w:lang w:val="ru-RU"/>
        </w:rPr>
        <w:t xml:space="preserve"> иностранством, у </w:t>
      </w:r>
      <w:r w:rsidR="00B61FD5" w:rsidRPr="00150D48">
        <w:rPr>
          <w:rFonts w:ascii="Tahoma" w:hAnsi="Tahoma" w:cs="Tahoma"/>
          <w:szCs w:val="18"/>
          <w:lang w:val="ru-RU"/>
        </w:rPr>
        <w:t xml:space="preserve">периоду </w:t>
      </w:r>
      <w:r w:rsidRPr="00150D48">
        <w:rPr>
          <w:rFonts w:ascii="Tahoma" w:hAnsi="Tahoma" w:cs="Tahoma"/>
          <w:szCs w:val="18"/>
          <w:lang w:val="ru-RU"/>
        </w:rPr>
        <w:t>јануар</w:t>
      </w:r>
      <w:r w:rsidR="00B61FD5" w:rsidRPr="00150D48">
        <w:rPr>
          <w:rFonts w:ascii="Tahoma" w:hAnsi="Tahoma" w:cs="Tahoma"/>
          <w:szCs w:val="18"/>
          <w:lang w:val="ru-RU"/>
        </w:rPr>
        <w:t xml:space="preserve"> </w:t>
      </w:r>
      <w:r w:rsidR="003B0DFC" w:rsidRPr="00150D48">
        <w:rPr>
          <w:rFonts w:ascii="Tahoma" w:hAnsi="Tahoma" w:cs="Tahoma"/>
          <w:szCs w:val="18"/>
          <w:lang w:val="ru-RU"/>
        </w:rPr>
        <w:t>–</w:t>
      </w:r>
      <w:r w:rsidR="008D6AC0" w:rsidRPr="00150D48">
        <w:rPr>
          <w:rFonts w:ascii="Tahoma" w:hAnsi="Tahoma" w:cs="Tahoma"/>
          <w:szCs w:val="18"/>
          <w:lang w:val="ru-RU"/>
        </w:rPr>
        <w:t xml:space="preserve"> </w:t>
      </w:r>
      <w:r w:rsidR="00AF78D3" w:rsidRPr="00150D48">
        <w:rPr>
          <w:rFonts w:ascii="Tahoma" w:hAnsi="Tahoma" w:cs="Tahoma"/>
          <w:szCs w:val="18"/>
          <w:lang w:val="sr-Cyrl-BA"/>
        </w:rPr>
        <w:t>новембар</w:t>
      </w:r>
      <w:r w:rsidR="00C80EE0" w:rsidRPr="00150D48">
        <w:rPr>
          <w:rFonts w:ascii="Tahoma" w:hAnsi="Tahoma" w:cs="Tahoma"/>
          <w:szCs w:val="18"/>
          <w:lang w:val="ru-RU"/>
        </w:rPr>
        <w:t xml:space="preserve"> </w:t>
      </w:r>
      <w:r w:rsidRPr="00150D48">
        <w:rPr>
          <w:rFonts w:ascii="Tahoma" w:hAnsi="Tahoma" w:cs="Tahoma"/>
          <w:szCs w:val="18"/>
          <w:lang w:val="sr-Cyrl-CS"/>
        </w:rPr>
        <w:t>2011. године, највише се извозило у</w:t>
      </w:r>
      <w:r w:rsidR="00B61FD5" w:rsidRPr="00150D48">
        <w:rPr>
          <w:rFonts w:ascii="Tahoma" w:hAnsi="Tahoma" w:cs="Tahoma"/>
          <w:szCs w:val="18"/>
          <w:lang w:val="sr-Cyrl-CS"/>
        </w:rPr>
        <w:t xml:space="preserve"> </w:t>
      </w:r>
      <w:r w:rsidR="00B040ED" w:rsidRPr="00150D48">
        <w:rPr>
          <w:rFonts w:ascii="Tahoma" w:hAnsi="Tahoma" w:cs="Tahoma"/>
          <w:szCs w:val="18"/>
          <w:lang w:val="sr-Cyrl-CS"/>
        </w:rPr>
        <w:t>Србију</w:t>
      </w:r>
      <w:r w:rsidR="00B61FD5" w:rsidRPr="00150D48">
        <w:rPr>
          <w:rFonts w:ascii="Tahoma" w:hAnsi="Tahoma" w:cs="Tahoma"/>
          <w:szCs w:val="18"/>
          <w:lang w:val="sr-Cyrl-CS"/>
        </w:rPr>
        <w:t xml:space="preserve"> и то у вриједности од </w:t>
      </w:r>
      <w:r w:rsidR="00AF78D3" w:rsidRPr="00150D48">
        <w:rPr>
          <w:rFonts w:ascii="Tahoma" w:hAnsi="Tahoma" w:cs="Tahoma"/>
          <w:szCs w:val="18"/>
          <w:lang w:val="sr-Cyrl-CS"/>
        </w:rPr>
        <w:t>434</w:t>
      </w:r>
      <w:r w:rsidRPr="00150D48">
        <w:rPr>
          <w:rFonts w:ascii="Tahoma" w:hAnsi="Tahoma" w:cs="Tahoma"/>
          <w:szCs w:val="18"/>
          <w:lang w:val="sr-Cyrl-CS"/>
        </w:rPr>
        <w:t xml:space="preserve"> милиона КМ, </w:t>
      </w:r>
      <w:r w:rsidR="00E053E5" w:rsidRPr="00150D48">
        <w:rPr>
          <w:rFonts w:ascii="Tahoma" w:hAnsi="Tahoma" w:cs="Tahoma"/>
          <w:szCs w:val="18"/>
          <w:lang w:val="sr-Cyrl-CS"/>
        </w:rPr>
        <w:t>односно</w:t>
      </w:r>
      <w:r w:rsidRPr="00150D48">
        <w:rPr>
          <w:rFonts w:ascii="Tahoma" w:hAnsi="Tahoma" w:cs="Tahoma"/>
          <w:szCs w:val="18"/>
          <w:lang w:val="sr-Cyrl-CS"/>
        </w:rPr>
        <w:t xml:space="preserve"> 1</w:t>
      </w:r>
      <w:r w:rsidR="001D2625" w:rsidRPr="00150D48">
        <w:rPr>
          <w:rFonts w:ascii="Tahoma" w:hAnsi="Tahoma" w:cs="Tahoma"/>
          <w:szCs w:val="18"/>
          <w:lang w:val="sr-Cyrl-CS"/>
        </w:rPr>
        <w:t>8</w:t>
      </w:r>
      <w:r w:rsidRPr="00150D48">
        <w:rPr>
          <w:rFonts w:ascii="Tahoma" w:hAnsi="Tahoma" w:cs="Tahoma"/>
          <w:szCs w:val="18"/>
          <w:lang w:val="sr-Cyrl-CS"/>
        </w:rPr>
        <w:t>,</w:t>
      </w:r>
      <w:r w:rsidR="00AF78D3" w:rsidRPr="00150D48">
        <w:rPr>
          <w:rFonts w:ascii="Tahoma" w:hAnsi="Tahoma" w:cs="Tahoma"/>
          <w:szCs w:val="18"/>
          <w:lang w:val="sr-Cyrl-CS"/>
        </w:rPr>
        <w:t>4</w:t>
      </w:r>
      <w:r w:rsidRPr="00150D48">
        <w:rPr>
          <w:rFonts w:ascii="Tahoma" w:hAnsi="Tahoma" w:cs="Tahoma"/>
          <w:szCs w:val="18"/>
          <w:lang w:val="sr-Cyrl-CS"/>
        </w:rPr>
        <w:t>%</w:t>
      </w:r>
      <w:r w:rsidRPr="00150D48">
        <w:rPr>
          <w:rFonts w:ascii="Tahoma" w:hAnsi="Tahoma" w:cs="Tahoma"/>
          <w:szCs w:val="18"/>
          <w:lang w:val="ru-RU"/>
        </w:rPr>
        <w:t xml:space="preserve">, </w:t>
      </w:r>
      <w:r w:rsidRPr="00150D48">
        <w:rPr>
          <w:rFonts w:ascii="Tahoma" w:hAnsi="Tahoma" w:cs="Tahoma"/>
          <w:szCs w:val="18"/>
          <w:lang w:val="sr-Cyrl-CS"/>
        </w:rPr>
        <w:t xml:space="preserve">те у </w:t>
      </w:r>
      <w:r w:rsidR="00B040ED" w:rsidRPr="00150D48">
        <w:rPr>
          <w:rFonts w:ascii="Tahoma" w:hAnsi="Tahoma" w:cs="Tahoma"/>
          <w:szCs w:val="18"/>
          <w:lang w:val="sr-Cyrl-CS"/>
        </w:rPr>
        <w:t>Италију</w:t>
      </w:r>
      <w:r w:rsidRPr="00150D48">
        <w:rPr>
          <w:rFonts w:ascii="Tahoma" w:hAnsi="Tahoma" w:cs="Tahoma"/>
          <w:szCs w:val="18"/>
          <w:lang w:val="sr-Cyrl-CS"/>
        </w:rPr>
        <w:t xml:space="preserve">, у вриједности од </w:t>
      </w:r>
      <w:r w:rsidR="00AF78D3" w:rsidRPr="00150D48">
        <w:rPr>
          <w:rFonts w:ascii="Tahoma" w:hAnsi="Tahoma" w:cs="Tahoma"/>
          <w:szCs w:val="18"/>
          <w:lang w:val="sr-Cyrl-CS"/>
        </w:rPr>
        <w:t>343</w:t>
      </w:r>
      <w:r w:rsidRPr="00150D48">
        <w:rPr>
          <w:rFonts w:ascii="Tahoma" w:hAnsi="Tahoma" w:cs="Tahoma"/>
          <w:szCs w:val="18"/>
          <w:lang w:val="sr-Cyrl-CS"/>
        </w:rPr>
        <w:t xml:space="preserve"> милиона </w:t>
      </w:r>
      <w:r w:rsidR="00B040ED" w:rsidRPr="00150D48">
        <w:rPr>
          <w:rFonts w:ascii="Tahoma" w:hAnsi="Tahoma" w:cs="Tahoma"/>
          <w:szCs w:val="18"/>
          <w:lang w:val="sr-Cyrl-CS"/>
        </w:rPr>
        <w:t>КМ, односно 1</w:t>
      </w:r>
      <w:r w:rsidR="003B0DFC" w:rsidRPr="00150D48">
        <w:rPr>
          <w:rFonts w:ascii="Tahoma" w:hAnsi="Tahoma" w:cs="Tahoma"/>
          <w:szCs w:val="18"/>
          <w:lang w:val="sr-Cyrl-CS"/>
        </w:rPr>
        <w:t>4</w:t>
      </w:r>
      <w:r w:rsidR="008D6AC0" w:rsidRPr="00150D48">
        <w:rPr>
          <w:rFonts w:ascii="Tahoma" w:hAnsi="Tahoma" w:cs="Tahoma"/>
          <w:szCs w:val="18"/>
          <w:lang w:val="sr-Cyrl-CS"/>
        </w:rPr>
        <w:t>,</w:t>
      </w:r>
      <w:r w:rsidR="00AF78D3" w:rsidRPr="00150D48">
        <w:rPr>
          <w:rFonts w:ascii="Tahoma" w:hAnsi="Tahoma" w:cs="Tahoma"/>
          <w:szCs w:val="18"/>
          <w:lang w:val="sr-Cyrl-CS"/>
        </w:rPr>
        <w:t>6</w:t>
      </w:r>
      <w:r w:rsidRPr="00150D48">
        <w:rPr>
          <w:rFonts w:ascii="Tahoma" w:hAnsi="Tahoma" w:cs="Tahoma"/>
          <w:szCs w:val="18"/>
          <w:lang w:val="sr-Cyrl-CS"/>
        </w:rPr>
        <w:t>% од укупног оствареног извоза.</w:t>
      </w:r>
    </w:p>
    <w:p w:rsidR="0017306E" w:rsidRPr="00150D48" w:rsidRDefault="0017306E" w:rsidP="0020048F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</w:p>
    <w:p w:rsidR="0017306E" w:rsidRPr="00150D48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150D48">
        <w:rPr>
          <w:rFonts w:ascii="Tahoma" w:hAnsi="Tahoma" w:cs="Tahoma"/>
          <w:sz w:val="18"/>
          <w:szCs w:val="18"/>
          <w:lang w:val="sr-Cyrl-CS"/>
        </w:rPr>
        <w:t xml:space="preserve">У истом </w:t>
      </w:r>
      <w:r w:rsidR="008D6AC0" w:rsidRPr="00150D48">
        <w:rPr>
          <w:rFonts w:ascii="Tahoma" w:hAnsi="Tahoma" w:cs="Tahoma"/>
          <w:sz w:val="18"/>
          <w:szCs w:val="18"/>
          <w:lang w:val="sr-Cyrl-CS"/>
        </w:rPr>
        <w:t>периоду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, </w:t>
      </w:r>
      <w:r w:rsidRPr="00150D48">
        <w:rPr>
          <w:rFonts w:ascii="Tahoma" w:hAnsi="Tahoma" w:cs="Tahoma"/>
          <w:sz w:val="18"/>
          <w:szCs w:val="18"/>
          <w:lang w:val="sr-Cyrl-BA"/>
        </w:rPr>
        <w:t>н</w:t>
      </w:r>
      <w:r w:rsidRPr="00150D48">
        <w:rPr>
          <w:rFonts w:ascii="Tahoma" w:hAnsi="Tahoma" w:cs="Tahoma"/>
          <w:sz w:val="18"/>
          <w:szCs w:val="18"/>
          <w:lang w:val="sr-Cyrl-CS"/>
        </w:rPr>
        <w:t>ајвише се увозило и</w:t>
      </w:r>
      <w:r w:rsidR="008D6AC0" w:rsidRPr="00150D48">
        <w:rPr>
          <w:rFonts w:ascii="Tahoma" w:hAnsi="Tahoma" w:cs="Tahoma"/>
          <w:sz w:val="18"/>
          <w:szCs w:val="18"/>
          <w:lang w:val="sr-Cyrl-CS"/>
        </w:rPr>
        <w:t xml:space="preserve">з Русије и то у вриједности од </w:t>
      </w:r>
      <w:r w:rsidR="001D2625" w:rsidRPr="00150D48">
        <w:rPr>
          <w:rFonts w:ascii="Tahoma" w:hAnsi="Tahoma" w:cs="Tahoma"/>
          <w:sz w:val="18"/>
          <w:szCs w:val="18"/>
          <w:lang w:val="sr-Cyrl-CS"/>
        </w:rPr>
        <w:t>милијард</w:t>
      </w:r>
      <w:r w:rsidR="00C42824" w:rsidRPr="00150D48">
        <w:rPr>
          <w:rFonts w:ascii="Tahoma" w:hAnsi="Tahoma" w:cs="Tahoma"/>
          <w:sz w:val="18"/>
          <w:szCs w:val="18"/>
          <w:lang w:val="sr-Cyrl-CS"/>
        </w:rPr>
        <w:t>у</w:t>
      </w:r>
      <w:r w:rsidR="001D2625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AF78D3" w:rsidRPr="00150D48">
        <w:rPr>
          <w:rFonts w:ascii="Tahoma" w:hAnsi="Tahoma" w:cs="Tahoma"/>
          <w:sz w:val="18"/>
          <w:szCs w:val="18"/>
          <w:lang w:val="sr-Cyrl-CS"/>
        </w:rPr>
        <w:t xml:space="preserve">127 </w:t>
      </w:r>
      <w:r w:rsidRPr="00150D48">
        <w:rPr>
          <w:rFonts w:ascii="Tahoma" w:hAnsi="Tahoma" w:cs="Tahoma"/>
          <w:sz w:val="18"/>
          <w:szCs w:val="18"/>
          <w:lang w:val="sr-Cyrl-CS"/>
        </w:rPr>
        <w:t>ми</w:t>
      </w:r>
      <w:r w:rsidR="008D6AC0" w:rsidRPr="00150D48">
        <w:rPr>
          <w:rFonts w:ascii="Tahoma" w:hAnsi="Tahoma" w:cs="Tahoma"/>
          <w:sz w:val="18"/>
          <w:szCs w:val="18"/>
          <w:lang w:val="sr-Cyrl-CS"/>
        </w:rPr>
        <w:t xml:space="preserve">лиона КМ, </w:t>
      </w:r>
      <w:r w:rsidR="00E053E5" w:rsidRPr="00150D48">
        <w:rPr>
          <w:rFonts w:ascii="Tahoma" w:hAnsi="Tahoma" w:cs="Tahoma"/>
          <w:sz w:val="18"/>
          <w:szCs w:val="18"/>
          <w:lang w:val="sr-Cyrl-CS"/>
        </w:rPr>
        <w:t xml:space="preserve">односно </w:t>
      </w:r>
      <w:r w:rsidR="008D6AC0" w:rsidRPr="00150D48">
        <w:rPr>
          <w:rFonts w:ascii="Tahoma" w:hAnsi="Tahoma" w:cs="Tahoma"/>
          <w:sz w:val="18"/>
          <w:szCs w:val="18"/>
          <w:lang w:val="sr-Cyrl-CS"/>
        </w:rPr>
        <w:t>2</w:t>
      </w:r>
      <w:r w:rsidR="00E9755F" w:rsidRPr="00150D48">
        <w:rPr>
          <w:rFonts w:ascii="Tahoma" w:hAnsi="Tahoma" w:cs="Tahoma"/>
          <w:sz w:val="18"/>
          <w:szCs w:val="18"/>
          <w:lang w:val="sr-Cyrl-CS"/>
        </w:rPr>
        <w:t>7</w:t>
      </w:r>
      <w:r w:rsidRPr="00150D48">
        <w:rPr>
          <w:rFonts w:ascii="Tahoma" w:hAnsi="Tahoma" w:cs="Tahoma"/>
          <w:sz w:val="18"/>
          <w:szCs w:val="18"/>
          <w:lang w:val="sr-Cyrl-CS"/>
        </w:rPr>
        <w:t>,</w:t>
      </w:r>
      <w:r w:rsidR="00AF78D3" w:rsidRPr="00150D48">
        <w:rPr>
          <w:rFonts w:ascii="Tahoma" w:hAnsi="Tahoma" w:cs="Tahoma"/>
          <w:sz w:val="18"/>
          <w:szCs w:val="18"/>
          <w:lang w:val="sr-Cyrl-CS"/>
        </w:rPr>
        <w:t>3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% и из Србије, у вриједности од </w:t>
      </w:r>
      <w:r w:rsidR="00AF78D3" w:rsidRPr="00150D48">
        <w:rPr>
          <w:rFonts w:ascii="Tahoma" w:hAnsi="Tahoma" w:cs="Tahoma"/>
          <w:sz w:val="18"/>
          <w:szCs w:val="18"/>
          <w:lang w:val="sr-Cyrl-CS"/>
        </w:rPr>
        <w:t xml:space="preserve">758 </w:t>
      </w:r>
      <w:r w:rsidRPr="00150D48">
        <w:rPr>
          <w:rFonts w:ascii="Tahoma" w:hAnsi="Tahoma" w:cs="Tahoma"/>
          <w:sz w:val="18"/>
          <w:szCs w:val="18"/>
          <w:lang w:val="sr-Cyrl-CS"/>
        </w:rPr>
        <w:t>милиона КМ, односно 1</w:t>
      </w:r>
      <w:r w:rsidR="003B0DFC" w:rsidRPr="00150D48">
        <w:rPr>
          <w:rFonts w:ascii="Tahoma" w:hAnsi="Tahoma" w:cs="Tahoma"/>
          <w:sz w:val="18"/>
          <w:szCs w:val="18"/>
          <w:lang w:val="sr-Cyrl-CS"/>
        </w:rPr>
        <w:t>8</w:t>
      </w:r>
      <w:r w:rsidRPr="00150D48">
        <w:rPr>
          <w:rFonts w:ascii="Tahoma" w:hAnsi="Tahoma" w:cs="Tahoma"/>
          <w:sz w:val="18"/>
          <w:szCs w:val="18"/>
          <w:lang w:val="sr-Cyrl-CS"/>
        </w:rPr>
        <w:t>,</w:t>
      </w:r>
      <w:r w:rsidR="00AF78D3" w:rsidRPr="00150D48">
        <w:rPr>
          <w:rFonts w:ascii="Tahoma" w:hAnsi="Tahoma" w:cs="Tahoma"/>
          <w:sz w:val="18"/>
          <w:szCs w:val="18"/>
          <w:lang w:val="sr-Cyrl-CS"/>
        </w:rPr>
        <w:t>4</w:t>
      </w:r>
      <w:r w:rsidRPr="00150D48">
        <w:rPr>
          <w:rFonts w:ascii="Tahoma" w:hAnsi="Tahoma" w:cs="Tahoma"/>
          <w:sz w:val="18"/>
          <w:szCs w:val="18"/>
          <w:lang w:val="sr-Cyrl-CS"/>
        </w:rPr>
        <w:t>% од укупно оствареног увоза.</w:t>
      </w:r>
    </w:p>
    <w:p w:rsidR="0017306E" w:rsidRPr="00150D48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B6D76" w:rsidRPr="00150D48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  <w:r w:rsidRPr="00150D48">
        <w:rPr>
          <w:rFonts w:ascii="Tahoma" w:hAnsi="Tahoma" w:cs="Tahoma"/>
          <w:bCs/>
          <w:sz w:val="18"/>
          <w:szCs w:val="18"/>
          <w:lang w:val="ru-RU"/>
        </w:rPr>
        <w:t xml:space="preserve">Посматрано по групама производа, у </w:t>
      </w:r>
      <w:r w:rsidR="008D6AC0" w:rsidRPr="00150D48">
        <w:rPr>
          <w:rFonts w:ascii="Tahoma" w:hAnsi="Tahoma" w:cs="Tahoma"/>
          <w:bCs/>
          <w:sz w:val="18"/>
          <w:szCs w:val="18"/>
          <w:lang w:val="ru-RU"/>
        </w:rPr>
        <w:t xml:space="preserve">периоду </w:t>
      </w:r>
      <w:r w:rsidRPr="00150D48">
        <w:rPr>
          <w:rFonts w:ascii="Tahoma" w:hAnsi="Tahoma" w:cs="Tahoma"/>
          <w:sz w:val="18"/>
          <w:szCs w:val="18"/>
          <w:lang w:val="ru-RU"/>
        </w:rPr>
        <w:t>јануар</w:t>
      </w:r>
      <w:r w:rsidR="008D6AC0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 w:rsidR="003B0DFC" w:rsidRPr="00150D48">
        <w:rPr>
          <w:rFonts w:ascii="Tahoma" w:hAnsi="Tahoma" w:cs="Tahoma"/>
          <w:sz w:val="18"/>
          <w:szCs w:val="18"/>
          <w:lang w:val="ru-RU"/>
        </w:rPr>
        <w:t>–</w:t>
      </w:r>
      <w:r w:rsidR="008D6AC0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 w:rsidR="00AF78D3" w:rsidRPr="00150D48">
        <w:rPr>
          <w:rFonts w:ascii="Tahoma" w:hAnsi="Tahoma" w:cs="Tahoma"/>
          <w:sz w:val="18"/>
          <w:szCs w:val="18"/>
          <w:lang w:val="sr-Cyrl-BA"/>
        </w:rPr>
        <w:t>новембар</w:t>
      </w:r>
      <w:r w:rsidR="00C80EE0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 w:rsidRPr="00150D48">
        <w:rPr>
          <w:rFonts w:ascii="Tahoma" w:hAnsi="Tahoma" w:cs="Tahoma"/>
          <w:sz w:val="18"/>
          <w:szCs w:val="18"/>
          <w:lang w:val="sr-Cyrl-CS"/>
        </w:rPr>
        <w:t>2011. године, највеће учешће у извозу остваруј</w:t>
      </w:r>
      <w:r w:rsidR="00B040ED" w:rsidRPr="00150D48">
        <w:rPr>
          <w:rFonts w:ascii="Tahoma" w:hAnsi="Tahoma" w:cs="Tahoma"/>
          <w:sz w:val="18"/>
          <w:szCs w:val="18"/>
          <w:lang w:val="sr-Cyrl-CS"/>
        </w:rPr>
        <w:t>у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E053E5" w:rsidRPr="00150D48">
        <w:rPr>
          <w:rFonts w:ascii="Tahoma" w:hAnsi="Tahoma" w:cs="Tahoma"/>
          <w:sz w:val="18"/>
          <w:szCs w:val="18"/>
          <w:lang w:val="ru-RU"/>
        </w:rPr>
        <w:t>нафтна уља и уља добиј</w:t>
      </w:r>
      <w:r w:rsidR="00B040ED" w:rsidRPr="00150D48">
        <w:rPr>
          <w:rFonts w:ascii="Tahoma" w:hAnsi="Tahoma" w:cs="Tahoma"/>
          <w:sz w:val="18"/>
          <w:szCs w:val="18"/>
          <w:lang w:val="ru-RU"/>
        </w:rPr>
        <w:t>ена од битумен</w:t>
      </w:r>
      <w:r w:rsidR="007E7446" w:rsidRPr="00150D48">
        <w:rPr>
          <w:rFonts w:ascii="Tahoma" w:hAnsi="Tahoma" w:cs="Tahoma"/>
          <w:sz w:val="18"/>
          <w:szCs w:val="18"/>
          <w:lang w:val="ru-RU"/>
        </w:rPr>
        <w:t>озних</w:t>
      </w:r>
      <w:r w:rsidR="00B040ED" w:rsidRPr="00150D48">
        <w:rPr>
          <w:rFonts w:ascii="Tahoma" w:hAnsi="Tahoma" w:cs="Tahoma"/>
          <w:sz w:val="18"/>
          <w:szCs w:val="18"/>
          <w:lang w:val="ru-RU"/>
        </w:rPr>
        <w:t xml:space="preserve"> минерала</w:t>
      </w:r>
      <w:r w:rsidR="00B040ED" w:rsidRPr="00150D48">
        <w:rPr>
          <w:rFonts w:ascii="Tahoma" w:hAnsi="Tahoma" w:cs="Tahoma"/>
          <w:sz w:val="18"/>
          <w:szCs w:val="18"/>
          <w:lang w:val="sr-Cyrl-CS"/>
        </w:rPr>
        <w:t xml:space="preserve"> (</w:t>
      </w:r>
      <w:r w:rsidR="00B040ED" w:rsidRPr="00150D48">
        <w:rPr>
          <w:rFonts w:ascii="Tahoma" w:hAnsi="Tahoma" w:cs="Tahoma"/>
          <w:sz w:val="18"/>
          <w:szCs w:val="18"/>
          <w:lang w:val="ru-RU"/>
        </w:rPr>
        <w:t>осим сирових</w:t>
      </w:r>
      <w:r w:rsidR="00B040ED" w:rsidRPr="00150D48">
        <w:rPr>
          <w:rFonts w:ascii="Tahoma" w:hAnsi="Tahoma" w:cs="Tahoma"/>
          <w:sz w:val="18"/>
          <w:szCs w:val="18"/>
          <w:lang w:val="sr-Cyrl-CS"/>
        </w:rPr>
        <w:t>)</w:t>
      </w:r>
      <w:r w:rsidR="00B040ED" w:rsidRPr="00150D48">
        <w:rPr>
          <w:rFonts w:ascii="Tahoma" w:hAnsi="Tahoma" w:cs="Tahoma"/>
          <w:sz w:val="18"/>
          <w:szCs w:val="18"/>
          <w:lang w:val="ru-RU"/>
        </w:rPr>
        <w:t xml:space="preserve"> </w:t>
      </w:r>
      <w:r w:rsidR="00781CEE" w:rsidRPr="00150D48">
        <w:rPr>
          <w:rFonts w:ascii="Tahoma" w:hAnsi="Tahoma" w:cs="Tahoma"/>
          <w:sz w:val="18"/>
          <w:szCs w:val="18"/>
          <w:lang w:val="sr-Cyrl-CS"/>
        </w:rPr>
        <w:t xml:space="preserve">са укупном вриједношћу од </w:t>
      </w:r>
      <w:r w:rsidR="0057089F" w:rsidRPr="00150D48">
        <w:rPr>
          <w:rFonts w:ascii="Tahoma" w:hAnsi="Tahoma" w:cs="Tahoma"/>
          <w:sz w:val="18"/>
          <w:szCs w:val="18"/>
          <w:lang w:val="sr-Cyrl-CS"/>
        </w:rPr>
        <w:t>343</w:t>
      </w:r>
      <w:r w:rsidR="003B0DFC" w:rsidRPr="00150D48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150D48">
        <w:rPr>
          <w:rFonts w:ascii="Tahoma" w:hAnsi="Tahoma" w:cs="Tahoma"/>
          <w:sz w:val="18"/>
          <w:szCs w:val="18"/>
          <w:lang w:val="sr-Cyrl-CS"/>
        </w:rPr>
        <w:t>милиона КМ, што износи 1</w:t>
      </w:r>
      <w:r w:rsidR="00C80EE0" w:rsidRPr="00150D48">
        <w:rPr>
          <w:rFonts w:ascii="Tahoma" w:hAnsi="Tahoma" w:cs="Tahoma"/>
          <w:sz w:val="18"/>
          <w:szCs w:val="18"/>
          <w:lang w:val="sr-Cyrl-CS"/>
        </w:rPr>
        <w:t>4</w:t>
      </w:r>
      <w:r w:rsidRPr="00150D48">
        <w:rPr>
          <w:rFonts w:ascii="Tahoma" w:hAnsi="Tahoma" w:cs="Tahoma"/>
          <w:sz w:val="18"/>
          <w:szCs w:val="18"/>
          <w:lang w:val="sr-Cyrl-CS"/>
        </w:rPr>
        <w:t>,</w:t>
      </w:r>
      <w:r w:rsidR="0057089F" w:rsidRPr="00150D48">
        <w:rPr>
          <w:rFonts w:ascii="Tahoma" w:hAnsi="Tahoma" w:cs="Tahoma"/>
          <w:sz w:val="18"/>
          <w:szCs w:val="18"/>
          <w:lang w:val="sr-Cyrl-CS"/>
        </w:rPr>
        <w:t>5</w:t>
      </w:r>
      <w:r w:rsidRPr="00150D48">
        <w:rPr>
          <w:rFonts w:ascii="Tahoma" w:hAnsi="Tahoma" w:cs="Tahoma"/>
          <w:sz w:val="18"/>
          <w:szCs w:val="18"/>
          <w:lang w:val="sr-Cyrl-CS"/>
        </w:rPr>
        <w:t xml:space="preserve">% од укупног извоза, док највеће учешће у увозу остварује </w:t>
      </w:r>
      <w:r w:rsidRPr="00150D48">
        <w:rPr>
          <w:rFonts w:ascii="Tahoma" w:hAnsi="Tahoma" w:cs="Tahoma"/>
          <w:sz w:val="18"/>
          <w:szCs w:val="18"/>
          <w:lang w:val="sr-Cyrl-BA"/>
        </w:rPr>
        <w:t>н</w:t>
      </w:r>
      <w:r w:rsidRPr="00150D48">
        <w:rPr>
          <w:rFonts w:ascii="Tahoma" w:hAnsi="Tahoma" w:cs="Tahoma"/>
          <w:sz w:val="18"/>
          <w:szCs w:val="18"/>
          <w:lang w:val="ru-RU"/>
        </w:rPr>
        <w:t>афт</w:t>
      </w:r>
      <w:r w:rsidRPr="00150D48">
        <w:rPr>
          <w:rFonts w:ascii="Tahoma" w:hAnsi="Tahoma" w:cs="Tahoma"/>
          <w:sz w:val="18"/>
          <w:szCs w:val="18"/>
          <w:lang w:val="sr-Cyrl-BA"/>
        </w:rPr>
        <w:t xml:space="preserve">а и </w:t>
      </w:r>
      <w:r w:rsidRPr="00150D48">
        <w:rPr>
          <w:rFonts w:ascii="Tahoma" w:hAnsi="Tahoma" w:cs="Tahoma"/>
          <w:sz w:val="18"/>
          <w:szCs w:val="18"/>
          <w:lang w:val="ru-RU"/>
        </w:rPr>
        <w:t xml:space="preserve">уља добијена од </w:t>
      </w:r>
      <w:r w:rsidR="007E7446" w:rsidRPr="00150D48">
        <w:rPr>
          <w:rFonts w:ascii="Tahoma" w:hAnsi="Tahoma" w:cs="Tahoma"/>
          <w:sz w:val="18"/>
          <w:szCs w:val="18"/>
          <w:lang w:val="ru-RU"/>
        </w:rPr>
        <w:t>битуменозних</w:t>
      </w:r>
      <w:r w:rsidRPr="00150D48">
        <w:rPr>
          <w:rFonts w:ascii="Tahoma" w:hAnsi="Tahoma" w:cs="Tahoma"/>
          <w:sz w:val="18"/>
          <w:szCs w:val="18"/>
          <w:lang w:val="ru-RU"/>
        </w:rPr>
        <w:t xml:space="preserve"> минерала</w:t>
      </w:r>
      <w:r w:rsidRPr="00150D48">
        <w:rPr>
          <w:rFonts w:ascii="Tahoma" w:hAnsi="Tahoma" w:cs="Tahoma"/>
          <w:sz w:val="18"/>
          <w:szCs w:val="18"/>
          <w:lang w:val="sr-Cyrl-BA"/>
        </w:rPr>
        <w:t xml:space="preserve"> (</w:t>
      </w:r>
      <w:r w:rsidRPr="00150D48">
        <w:rPr>
          <w:rFonts w:ascii="Tahoma" w:hAnsi="Tahoma" w:cs="Tahoma"/>
          <w:sz w:val="18"/>
          <w:szCs w:val="18"/>
          <w:lang w:val="ru-RU"/>
        </w:rPr>
        <w:t>сиров</w:t>
      </w:r>
      <w:r w:rsidR="00781CEE" w:rsidRPr="00150D48">
        <w:rPr>
          <w:rFonts w:ascii="Tahoma" w:hAnsi="Tahoma" w:cs="Tahoma"/>
          <w:sz w:val="18"/>
          <w:szCs w:val="18"/>
          <w:lang w:val="sr-Cyrl-BA"/>
        </w:rPr>
        <w:t xml:space="preserve">а), са укупном вриједношћу од </w:t>
      </w:r>
      <w:r w:rsidR="0057089F" w:rsidRPr="00150D48">
        <w:rPr>
          <w:rFonts w:ascii="Tahoma" w:hAnsi="Tahoma" w:cs="Tahoma"/>
          <w:sz w:val="18"/>
          <w:szCs w:val="18"/>
          <w:lang w:val="sr-Cyrl-BA"/>
        </w:rPr>
        <w:t xml:space="preserve">милијадру и 107 </w:t>
      </w:r>
      <w:r w:rsidR="008D6AC0" w:rsidRPr="00150D48">
        <w:rPr>
          <w:rFonts w:ascii="Tahoma" w:hAnsi="Tahoma" w:cs="Tahoma"/>
          <w:sz w:val="18"/>
          <w:szCs w:val="18"/>
          <w:lang w:val="sr-Cyrl-BA"/>
        </w:rPr>
        <w:t>милиона КМ, што износи 2</w:t>
      </w:r>
      <w:r w:rsidR="00A13AB5" w:rsidRPr="00150D48">
        <w:rPr>
          <w:rFonts w:ascii="Tahoma" w:hAnsi="Tahoma" w:cs="Tahoma"/>
          <w:sz w:val="18"/>
          <w:szCs w:val="18"/>
          <w:lang w:val="sr-Cyrl-BA"/>
        </w:rPr>
        <w:t>6</w:t>
      </w:r>
      <w:r w:rsidRPr="00150D48">
        <w:rPr>
          <w:rFonts w:ascii="Tahoma" w:hAnsi="Tahoma" w:cs="Tahoma"/>
          <w:sz w:val="18"/>
          <w:szCs w:val="18"/>
          <w:lang w:val="sr-Cyrl-BA"/>
        </w:rPr>
        <w:t>,</w:t>
      </w:r>
      <w:r w:rsidR="0057089F" w:rsidRPr="00150D48">
        <w:rPr>
          <w:rFonts w:ascii="Tahoma" w:hAnsi="Tahoma" w:cs="Tahoma"/>
          <w:sz w:val="18"/>
          <w:szCs w:val="18"/>
          <w:lang w:val="sr-Cyrl-BA"/>
        </w:rPr>
        <w:t>8</w:t>
      </w:r>
      <w:r w:rsidRPr="00150D48">
        <w:rPr>
          <w:rFonts w:ascii="Tahoma" w:hAnsi="Tahoma" w:cs="Tahoma"/>
          <w:sz w:val="18"/>
          <w:szCs w:val="18"/>
          <w:lang w:val="sr-Cyrl-BA"/>
        </w:rPr>
        <w:t>% од укупног увоза.</w:t>
      </w:r>
    </w:p>
    <w:p w:rsidR="003B0DFC" w:rsidRPr="00150D48" w:rsidRDefault="003B0DFC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9B294C" w:rsidRPr="00150D48" w:rsidRDefault="009B294C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B6D76" w:rsidRPr="00150D48" w:rsidRDefault="00EB4B44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lastRenderedPageBreak/>
        <w:pict>
          <v:shape id="_x0000_s1062" type="#_x0000_t202" style="position:absolute;left:0;text-align:left;margin-left:320.4pt;margin-top:8.05pt;width:61.05pt;height:19.75pt;z-index:251658240;mso-width-relative:margin;mso-height-relative:margin" stroked="f">
            <v:textbox style="mso-next-textbox:#_x0000_s1062">
              <w:txbxContent>
                <w:p w:rsidR="005F1C68" w:rsidRPr="0078288A" w:rsidRDefault="005F1C68">
                  <w:pPr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DB6D76" w:rsidRPr="00150D48" w:rsidRDefault="00DB6D76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B6D76" w:rsidRPr="00150D48" w:rsidRDefault="00DB6D76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78288A" w:rsidRPr="00150D48" w:rsidRDefault="007E7446" w:rsidP="00F872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</w:rPr>
      </w:pPr>
      <w:r w:rsidRPr="00150D48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4921858" cy="2743200"/>
            <wp:effectExtent l="0" t="0" r="0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F1FE7" w:rsidRPr="00150D48" w:rsidRDefault="00EB4B44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</w:rPr>
      </w:pPr>
      <w:r w:rsidRPr="00EB4B44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1" type="#_x0000_t202" style="position:absolute;left:0;text-align:left;margin-left:266.35pt;margin-top:2.75pt;width:36.15pt;height:16.85pt;z-index:251657216;mso-height-percent:200;mso-height-percent:200;mso-width-relative:margin;mso-height-relative:margin" stroked="f">
            <v:textbox style="mso-next-textbox:#_x0000_s1061;mso-fit-shape-to-text:t">
              <w:txbxContent>
                <w:p w:rsidR="005F1C68" w:rsidRPr="0078288A" w:rsidRDefault="005F1C68" w:rsidP="0078288A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011</w:t>
                  </w:r>
                </w:p>
              </w:txbxContent>
            </v:textbox>
          </v:shape>
        </w:pict>
      </w:r>
      <w:r w:rsidRPr="00EB4B44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0" type="#_x0000_t202" style="position:absolute;left:0;text-align:left;margin-left:132.4pt;margin-top:2.75pt;width:36.15pt;height:16.85pt;z-index:251656192;mso-height-percent:200;mso-height-percent:200;mso-width-relative:margin;mso-height-relative:margin" stroked="f">
            <v:textbox style="mso-next-textbox:#_x0000_s1060;mso-fit-shape-to-text:t">
              <w:txbxContent>
                <w:p w:rsidR="005F1C68" w:rsidRPr="0078288A" w:rsidRDefault="005F1C68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2010</w:t>
                  </w:r>
                </w:p>
              </w:txbxContent>
            </v:textbox>
          </v:shape>
        </w:pict>
      </w:r>
    </w:p>
    <w:p w:rsidR="005E0301" w:rsidRPr="00150D48" w:rsidRDefault="005E0301" w:rsidP="0020048F">
      <w:pPr>
        <w:tabs>
          <w:tab w:val="left" w:pos="4545"/>
        </w:tabs>
        <w:jc w:val="both"/>
        <w:rPr>
          <w:rFonts w:ascii="Tahoma" w:hAnsi="Tahoma" w:cs="Tahoma"/>
          <w:b/>
        </w:rPr>
      </w:pPr>
    </w:p>
    <w:p w:rsidR="003B0DFC" w:rsidRPr="00150D48" w:rsidRDefault="003B0DFC" w:rsidP="00F8723A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846676" w:rsidRPr="00150D48" w:rsidRDefault="000328B8" w:rsidP="00AB7277">
      <w:pPr>
        <w:tabs>
          <w:tab w:val="left" w:pos="2535"/>
        </w:tabs>
        <w:jc w:val="center"/>
        <w:rPr>
          <w:rFonts w:ascii="Tahoma" w:hAnsi="Tahoma" w:cs="Tahoma"/>
          <w:iCs/>
          <w:sz w:val="16"/>
          <w:szCs w:val="16"/>
        </w:rPr>
      </w:pPr>
      <w:r w:rsidRPr="00150D48">
        <w:rPr>
          <w:rFonts w:ascii="Tahoma" w:hAnsi="Tahoma" w:cs="Tahoma"/>
          <w:sz w:val="16"/>
          <w:szCs w:val="16"/>
          <w:lang w:val="ru-RU"/>
        </w:rPr>
        <w:t xml:space="preserve">Графикон </w:t>
      </w:r>
      <w:r w:rsidR="00765234">
        <w:rPr>
          <w:rFonts w:ascii="Tahoma" w:hAnsi="Tahoma" w:cs="Tahoma"/>
          <w:sz w:val="16"/>
          <w:szCs w:val="16"/>
        </w:rPr>
        <w:t>3</w:t>
      </w:r>
      <w:r w:rsidR="005E0301" w:rsidRPr="00150D48">
        <w:rPr>
          <w:rFonts w:ascii="Tahoma" w:hAnsi="Tahoma" w:cs="Tahoma"/>
          <w:sz w:val="16"/>
          <w:szCs w:val="16"/>
          <w:lang w:val="ru-RU"/>
        </w:rPr>
        <w:t xml:space="preserve">. </w:t>
      </w:r>
      <w:r w:rsidR="005E0301" w:rsidRPr="00150D48">
        <w:rPr>
          <w:rFonts w:ascii="Tahoma" w:hAnsi="Tahoma" w:cs="Tahoma"/>
          <w:iCs/>
          <w:sz w:val="16"/>
          <w:szCs w:val="16"/>
          <w:lang w:val="sr-Cyrl-CS"/>
        </w:rPr>
        <w:t>Из</w:t>
      </w:r>
      <w:r w:rsidR="005E0301" w:rsidRPr="00150D48">
        <w:rPr>
          <w:rFonts w:ascii="Tahoma" w:hAnsi="Tahoma" w:cs="Tahoma"/>
          <w:iCs/>
          <w:sz w:val="16"/>
          <w:szCs w:val="16"/>
          <w:lang w:val="ru-RU"/>
        </w:rPr>
        <w:t xml:space="preserve">воз и </w:t>
      </w:r>
      <w:r w:rsidR="005E0301" w:rsidRPr="00150D48">
        <w:rPr>
          <w:rFonts w:ascii="Tahoma" w:hAnsi="Tahoma" w:cs="Tahoma"/>
          <w:iCs/>
          <w:sz w:val="16"/>
          <w:szCs w:val="16"/>
          <w:lang w:val="sr-Cyrl-CS"/>
        </w:rPr>
        <w:t>у</w:t>
      </w:r>
      <w:r w:rsidR="005E0301" w:rsidRPr="00150D48">
        <w:rPr>
          <w:rFonts w:ascii="Tahoma" w:hAnsi="Tahoma" w:cs="Tahoma"/>
          <w:iCs/>
          <w:sz w:val="16"/>
          <w:szCs w:val="16"/>
          <w:lang w:val="ru-RU"/>
        </w:rPr>
        <w:t xml:space="preserve">воз по мјесецима </w:t>
      </w:r>
    </w:p>
    <w:p w:rsidR="00FB757A" w:rsidRPr="00150D48" w:rsidRDefault="00FB757A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pacing w:val="-16"/>
          <w:sz w:val="28"/>
          <w:szCs w:val="28"/>
        </w:rPr>
      </w:pPr>
    </w:p>
    <w:p w:rsidR="008F0147" w:rsidRPr="00150D48" w:rsidRDefault="008F0147" w:rsidP="003E5E54">
      <w:pPr>
        <w:rPr>
          <w:rFonts w:ascii="Tahoma" w:hAnsi="Tahoma" w:cs="Tahoma"/>
          <w:b/>
          <w:sz w:val="28"/>
          <w:szCs w:val="28"/>
        </w:rPr>
      </w:pPr>
      <w:r w:rsidRPr="00150D48">
        <w:rPr>
          <w:rFonts w:ascii="Tahoma" w:hAnsi="Tahoma" w:cs="Tahoma"/>
          <w:b/>
          <w:sz w:val="28"/>
          <w:szCs w:val="28"/>
          <w:lang w:val="ru-RU"/>
        </w:rPr>
        <w:t>Промет у трговини на мало</w:t>
      </w:r>
      <w:r w:rsidR="00771CC7" w:rsidRPr="00150D48">
        <w:rPr>
          <w:rFonts w:ascii="Tahoma" w:hAnsi="Tahoma" w:cs="Tahoma"/>
          <w:b/>
          <w:sz w:val="28"/>
          <w:szCs w:val="28"/>
          <w:lang w:val="ru-RU"/>
        </w:rPr>
        <w:t xml:space="preserve"> мањи</w:t>
      </w:r>
      <w:r w:rsidRPr="00150D48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="00771CC7" w:rsidRPr="00150D48">
        <w:rPr>
          <w:rFonts w:ascii="Tahoma" w:hAnsi="Tahoma" w:cs="Tahoma"/>
          <w:b/>
          <w:sz w:val="28"/>
          <w:szCs w:val="28"/>
          <w:lang w:val="sr-Cyrl-CS"/>
        </w:rPr>
        <w:t>1</w:t>
      </w:r>
      <w:r w:rsidR="0055242C" w:rsidRPr="00150D48">
        <w:rPr>
          <w:rFonts w:ascii="Tahoma" w:hAnsi="Tahoma" w:cs="Tahoma"/>
          <w:b/>
          <w:sz w:val="28"/>
          <w:szCs w:val="28"/>
          <w:lang w:val="sr-Cyrl-CS"/>
        </w:rPr>
        <w:t>0,3</w:t>
      </w:r>
      <w:r w:rsidRPr="00150D48">
        <w:rPr>
          <w:rFonts w:ascii="Tahoma" w:hAnsi="Tahoma" w:cs="Tahoma"/>
          <w:b/>
          <w:sz w:val="28"/>
          <w:szCs w:val="28"/>
          <w:lang w:val="ru-RU"/>
        </w:rPr>
        <w:t>% (</w:t>
      </w:r>
      <w:r w:rsidR="00317BE9" w:rsidRPr="00150D48">
        <w:rPr>
          <w:rFonts w:ascii="Tahoma" w:hAnsi="Tahoma" w:cs="Tahoma"/>
          <w:b/>
          <w:sz w:val="28"/>
          <w:szCs w:val="28"/>
          <w:lang w:val="sr-Latn-CS"/>
        </w:rPr>
        <w:t>X</w:t>
      </w:r>
      <w:r w:rsidR="00771CC7" w:rsidRPr="00150D48">
        <w:rPr>
          <w:rFonts w:ascii="Tahoma" w:hAnsi="Tahoma" w:cs="Tahoma"/>
          <w:b/>
          <w:sz w:val="28"/>
          <w:szCs w:val="28"/>
          <w:lang w:val="sr-Latn-CS"/>
        </w:rPr>
        <w:t>I</w:t>
      </w:r>
      <w:r w:rsidR="00771CC7" w:rsidRPr="00150D48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Pr="00150D48">
        <w:rPr>
          <w:rFonts w:ascii="Tahoma" w:hAnsi="Tahoma" w:cs="Tahoma"/>
          <w:b/>
          <w:sz w:val="28"/>
          <w:szCs w:val="28"/>
          <w:lang w:val="ru-RU"/>
        </w:rPr>
        <w:t>2011/</w:t>
      </w:r>
      <w:r w:rsidR="0055242C" w:rsidRPr="00150D48">
        <w:rPr>
          <w:rFonts w:ascii="Tahoma" w:hAnsi="Tahoma" w:cs="Tahoma"/>
          <w:b/>
          <w:sz w:val="28"/>
          <w:szCs w:val="28"/>
          <w:lang w:val="sr-Latn-CS"/>
        </w:rPr>
        <w:t>X</w:t>
      </w:r>
      <w:r w:rsidRPr="00150D48">
        <w:rPr>
          <w:rFonts w:ascii="Tahoma" w:hAnsi="Tahoma" w:cs="Tahoma"/>
          <w:b/>
          <w:sz w:val="28"/>
          <w:szCs w:val="28"/>
          <w:lang w:val="ru-RU"/>
        </w:rPr>
        <w:t xml:space="preserve"> 201</w:t>
      </w:r>
      <w:r w:rsidR="008F46DE" w:rsidRPr="00150D48">
        <w:rPr>
          <w:rFonts w:ascii="Tahoma" w:hAnsi="Tahoma" w:cs="Tahoma"/>
          <w:b/>
          <w:sz w:val="28"/>
          <w:szCs w:val="28"/>
          <w:lang w:val="ru-RU"/>
        </w:rPr>
        <w:t>1</w:t>
      </w:r>
      <w:r w:rsidR="00242008" w:rsidRPr="00150D48">
        <w:rPr>
          <w:rFonts w:ascii="Tahoma" w:hAnsi="Tahoma" w:cs="Tahoma"/>
          <w:b/>
          <w:sz w:val="28"/>
          <w:szCs w:val="28"/>
          <w:lang w:val="ru-RU"/>
        </w:rPr>
        <w:t>.</w:t>
      </w:r>
      <w:r w:rsidRPr="00150D48">
        <w:rPr>
          <w:rFonts w:ascii="Tahoma" w:hAnsi="Tahoma" w:cs="Tahoma"/>
          <w:b/>
          <w:sz w:val="28"/>
          <w:szCs w:val="28"/>
          <w:lang w:val="ru-RU"/>
        </w:rPr>
        <w:t>)</w:t>
      </w:r>
    </w:p>
    <w:p w:rsidR="00E92C59" w:rsidRPr="00150D48" w:rsidRDefault="00E92C59" w:rsidP="003E5E54">
      <w:pPr>
        <w:rPr>
          <w:rFonts w:ascii="Tahoma" w:hAnsi="Tahoma" w:cs="Tahoma"/>
          <w:b/>
          <w:sz w:val="28"/>
          <w:szCs w:val="28"/>
        </w:rPr>
      </w:pPr>
    </w:p>
    <w:p w:rsidR="00E92C59" w:rsidRPr="00150D48" w:rsidRDefault="00E92C59" w:rsidP="00E92C59">
      <w:pPr>
        <w:pStyle w:val="BodyTextIndent3"/>
        <w:tabs>
          <w:tab w:val="left" w:pos="720"/>
        </w:tabs>
        <w:ind w:firstLine="0"/>
        <w:rPr>
          <w:rFonts w:ascii="Tahoma" w:hAnsi="Tahoma" w:cs="Tahoma"/>
          <w:bCs w:val="0"/>
          <w:szCs w:val="18"/>
          <w:lang w:val="ru-RU"/>
        </w:rPr>
      </w:pPr>
      <w:r w:rsidRPr="00150D48">
        <w:rPr>
          <w:rFonts w:ascii="Tahoma" w:hAnsi="Tahoma" w:cs="Tahoma"/>
          <w:bCs w:val="0"/>
          <w:szCs w:val="18"/>
          <w:lang w:val="sr-Cyrl-CS"/>
        </w:rPr>
        <w:t>Промет у трговини на мало у новембру 2011. године у односу на октобар 2011. године мањи је за</w:t>
      </w:r>
      <w:r w:rsidRPr="00150D48">
        <w:rPr>
          <w:rFonts w:ascii="Tahoma" w:hAnsi="Tahoma" w:cs="Tahoma"/>
          <w:bCs w:val="0"/>
          <w:szCs w:val="18"/>
          <w:lang w:val="ru-RU"/>
        </w:rPr>
        <w:t xml:space="preserve"> </w:t>
      </w:r>
      <w:r w:rsidRPr="00150D48">
        <w:rPr>
          <w:rFonts w:ascii="Tahoma" w:hAnsi="Tahoma" w:cs="Tahoma"/>
          <w:bCs w:val="0"/>
          <w:szCs w:val="18"/>
          <w:lang w:val="sr-Cyrl-CS"/>
        </w:rPr>
        <w:t>10,3%,</w:t>
      </w:r>
      <w:r w:rsidRPr="00150D48">
        <w:rPr>
          <w:rFonts w:ascii="Tahoma" w:hAnsi="Tahoma" w:cs="Tahoma"/>
          <w:bCs w:val="0"/>
          <w:szCs w:val="18"/>
        </w:rPr>
        <w:t xml:space="preserve"> </w:t>
      </w:r>
      <w:r w:rsidRPr="00150D48">
        <w:rPr>
          <w:rFonts w:ascii="Tahoma" w:hAnsi="Tahoma" w:cs="Tahoma"/>
          <w:bCs w:val="0"/>
          <w:szCs w:val="18"/>
          <w:lang w:val="sr-Cyrl-CS"/>
        </w:rPr>
        <w:t>у односу на новембар 2010. године већи је за</w:t>
      </w:r>
      <w:r w:rsidRPr="00150D48">
        <w:rPr>
          <w:rFonts w:ascii="Tahoma" w:hAnsi="Tahoma" w:cs="Tahoma"/>
          <w:bCs w:val="0"/>
          <w:szCs w:val="18"/>
          <w:lang w:val="ru-RU"/>
        </w:rPr>
        <w:t xml:space="preserve"> </w:t>
      </w:r>
      <w:r w:rsidRPr="00150D48">
        <w:rPr>
          <w:rFonts w:ascii="Tahoma" w:hAnsi="Tahoma" w:cs="Tahoma"/>
          <w:bCs w:val="0"/>
          <w:szCs w:val="18"/>
          <w:lang w:val="sr-Cyrl-CS"/>
        </w:rPr>
        <w:t>2,0%</w:t>
      </w:r>
      <w:r w:rsidRPr="00150D48">
        <w:rPr>
          <w:rFonts w:ascii="Tahoma" w:hAnsi="Tahoma" w:cs="Tahoma"/>
          <w:bCs w:val="0"/>
          <w:szCs w:val="18"/>
          <w:lang w:val="ru-RU"/>
        </w:rPr>
        <w:t xml:space="preserve">, </w:t>
      </w:r>
      <w:r w:rsidRPr="00150D48">
        <w:rPr>
          <w:rFonts w:ascii="Tahoma" w:hAnsi="Tahoma" w:cs="Tahoma"/>
          <w:bCs w:val="0"/>
          <w:szCs w:val="18"/>
          <w:lang w:val="sr-Cyrl-CS"/>
        </w:rPr>
        <w:t>док је у односу на просјек 2010. године већи 1,4%.</w:t>
      </w:r>
    </w:p>
    <w:p w:rsidR="00E92C59" w:rsidRPr="00150D48" w:rsidRDefault="00E92C59" w:rsidP="003E5E54">
      <w:pPr>
        <w:rPr>
          <w:rFonts w:ascii="Tahoma" w:hAnsi="Tahoma" w:cs="Tahoma"/>
          <w:bCs/>
          <w:sz w:val="18"/>
          <w:szCs w:val="18"/>
        </w:rPr>
      </w:pPr>
    </w:p>
    <w:p w:rsidR="00E92C59" w:rsidRPr="00804458" w:rsidRDefault="00E92C59" w:rsidP="00E92C59">
      <w:pPr>
        <w:jc w:val="both"/>
        <w:rPr>
          <w:rFonts w:ascii="Tahoma" w:hAnsi="Tahoma" w:cs="Tahoma"/>
          <w:b/>
          <w:sz w:val="28"/>
          <w:szCs w:val="28"/>
        </w:rPr>
      </w:pPr>
      <w:r w:rsidRPr="00150D48">
        <w:rPr>
          <w:rFonts w:ascii="Tahoma" w:hAnsi="Tahoma" w:cs="Tahoma"/>
          <w:bCs/>
          <w:sz w:val="18"/>
          <w:szCs w:val="18"/>
          <w:lang w:val="sr-Cyrl-CS"/>
        </w:rPr>
        <w:t>У структури промета највише учествује трговина на мало  у неспецијализованим продавницама са 29,8%, трговина на мало моторним горивима и мазивима са 29,0% и остала трговина на мало новом робом у специјализираним продавницама са 18,3%, док најмање учествује трговина на мало изван продавница 0,4%</w:t>
      </w:r>
      <w:r w:rsidR="00804458">
        <w:rPr>
          <w:rFonts w:ascii="Tahoma" w:hAnsi="Tahoma" w:cs="Tahoma"/>
          <w:bCs/>
          <w:sz w:val="18"/>
          <w:szCs w:val="18"/>
        </w:rPr>
        <w:t>.</w:t>
      </w:r>
    </w:p>
    <w:p w:rsidR="005B12F7" w:rsidRPr="00150D48" w:rsidRDefault="005B12F7" w:rsidP="0020048F">
      <w:pPr>
        <w:jc w:val="both"/>
        <w:rPr>
          <w:rFonts w:ascii="Tahoma" w:hAnsi="Tahoma" w:cs="Tahoma"/>
          <w:sz w:val="18"/>
          <w:szCs w:val="18"/>
        </w:rPr>
      </w:pPr>
    </w:p>
    <w:p w:rsidR="00F6318C" w:rsidRPr="00150D48" w:rsidRDefault="00F6318C" w:rsidP="00F6318C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pacing w:val="-16"/>
          <w:sz w:val="28"/>
          <w:szCs w:val="28"/>
          <w:lang w:val="ru-RU"/>
        </w:rPr>
      </w:pPr>
      <w:r w:rsidRPr="00150D48">
        <w:rPr>
          <w:rFonts w:ascii="Tahoma" w:hAnsi="Tahoma" w:cs="Tahoma"/>
          <w:b/>
          <w:spacing w:val="-16"/>
          <w:sz w:val="28"/>
          <w:szCs w:val="28"/>
          <w:lang w:val="ru-RU"/>
        </w:rPr>
        <w:t>Забиљежено 23,</w:t>
      </w:r>
      <w:r w:rsidRPr="00150D48">
        <w:rPr>
          <w:rFonts w:ascii="Tahoma" w:hAnsi="Tahoma" w:cs="Tahoma"/>
          <w:b/>
          <w:spacing w:val="-16"/>
          <w:sz w:val="28"/>
          <w:szCs w:val="28"/>
        </w:rPr>
        <w:t>8</w:t>
      </w:r>
      <w:r w:rsidRPr="00150D48">
        <w:rPr>
          <w:rFonts w:ascii="Tahoma" w:hAnsi="Tahoma" w:cs="Tahoma"/>
          <w:b/>
          <w:spacing w:val="-16"/>
          <w:sz w:val="28"/>
          <w:szCs w:val="28"/>
          <w:lang w:val="ru-RU"/>
        </w:rPr>
        <w:t xml:space="preserve">% </w:t>
      </w:r>
      <w:r w:rsidRPr="00150D48">
        <w:rPr>
          <w:rFonts w:ascii="Tahoma" w:hAnsi="Tahoma" w:cs="Tahoma"/>
          <w:b/>
          <w:spacing w:val="-16"/>
          <w:sz w:val="28"/>
          <w:szCs w:val="28"/>
          <w:lang w:val="sr-Cyrl-CS"/>
        </w:rPr>
        <w:t>мање</w:t>
      </w:r>
      <w:r w:rsidRPr="00150D48">
        <w:rPr>
          <w:rFonts w:ascii="Tahoma" w:hAnsi="Tahoma" w:cs="Tahoma"/>
          <w:b/>
          <w:spacing w:val="-16"/>
          <w:sz w:val="28"/>
          <w:szCs w:val="28"/>
          <w:lang w:val="ru-RU"/>
        </w:rPr>
        <w:t xml:space="preserve"> ноћења </w:t>
      </w:r>
      <w:r w:rsidRPr="00150D48">
        <w:rPr>
          <w:rFonts w:ascii="Tahoma" w:hAnsi="Tahoma" w:cs="Tahoma"/>
          <w:b/>
          <w:spacing w:val="-16"/>
          <w:sz w:val="28"/>
          <w:szCs w:val="28"/>
          <w:lang w:val="sr-Cyrl-BA"/>
        </w:rPr>
        <w:t>у</w:t>
      </w:r>
      <w:r w:rsidRPr="00150D48">
        <w:rPr>
          <w:rFonts w:ascii="Tahoma" w:hAnsi="Tahoma" w:cs="Tahoma"/>
          <w:b/>
          <w:spacing w:val="-16"/>
          <w:sz w:val="28"/>
          <w:szCs w:val="28"/>
          <w:lang w:val="ru-RU"/>
        </w:rPr>
        <w:t xml:space="preserve"> новембру 2011</w:t>
      </w:r>
      <w:r w:rsidRPr="00150D48">
        <w:rPr>
          <w:rFonts w:ascii="Tahoma" w:hAnsi="Tahoma" w:cs="Tahoma"/>
          <w:b/>
          <w:spacing w:val="-16"/>
          <w:sz w:val="28"/>
          <w:szCs w:val="28"/>
          <w:lang w:val="sr-Cyrl-CS"/>
        </w:rPr>
        <w:t xml:space="preserve">. него у октобру 2011. </w:t>
      </w:r>
    </w:p>
    <w:p w:rsidR="00F6318C" w:rsidRPr="00150D48" w:rsidRDefault="00F6318C" w:rsidP="00F6318C">
      <w:pPr>
        <w:tabs>
          <w:tab w:val="left" w:pos="300"/>
          <w:tab w:val="left" w:pos="1100"/>
        </w:tabs>
        <w:jc w:val="both"/>
        <w:rPr>
          <w:rFonts w:ascii="Tahoma" w:hAnsi="Tahoma" w:cs="Tahoma"/>
          <w:spacing w:val="-14"/>
          <w:sz w:val="24"/>
          <w:szCs w:val="24"/>
        </w:rPr>
      </w:pPr>
      <w:r w:rsidRPr="00150D48">
        <w:rPr>
          <w:rFonts w:ascii="Tahoma" w:hAnsi="Tahoma" w:cs="Tahoma"/>
          <w:spacing w:val="-14"/>
          <w:sz w:val="24"/>
          <w:szCs w:val="24"/>
          <w:lang w:val="ru-RU"/>
        </w:rPr>
        <w:t>Највише ноћења туриста из Србије и то 5 692</w:t>
      </w:r>
    </w:p>
    <w:p w:rsidR="00F6318C" w:rsidRPr="00150D48" w:rsidRDefault="00F6318C" w:rsidP="00F6318C">
      <w:pPr>
        <w:pStyle w:val="Default"/>
        <w:jc w:val="both"/>
        <w:rPr>
          <w:color w:val="auto"/>
          <w:highlight w:val="yellow"/>
          <w:lang w:val="ru-RU"/>
        </w:rPr>
      </w:pPr>
    </w:p>
    <w:p w:rsidR="00F6318C" w:rsidRPr="00150D48" w:rsidRDefault="00F6318C" w:rsidP="00F6318C">
      <w:pPr>
        <w:tabs>
          <w:tab w:val="left" w:pos="300"/>
          <w:tab w:val="left" w:pos="1100"/>
        </w:tabs>
        <w:jc w:val="both"/>
        <w:rPr>
          <w:rFonts w:ascii="Tahoma" w:hAnsi="Tahoma" w:cs="Tahoma"/>
          <w:spacing w:val="-14"/>
          <w:sz w:val="18"/>
          <w:szCs w:val="18"/>
          <w:lang w:val="ru-RU"/>
        </w:rPr>
      </w:pPr>
      <w:r w:rsidRPr="00150D48">
        <w:rPr>
          <w:rFonts w:ascii="Tahoma" w:hAnsi="Tahoma" w:cs="Tahoma"/>
          <w:sz w:val="18"/>
          <w:szCs w:val="18"/>
          <w:lang w:val="ru-RU"/>
        </w:rPr>
        <w:t>У новембру 2011. године Република Српска је располагала са капацитетом од 4 119 соба, односно 8 811 лежаја.</w:t>
      </w:r>
    </w:p>
    <w:p w:rsidR="00F6318C" w:rsidRPr="00150D48" w:rsidRDefault="00F6318C" w:rsidP="00F6318C">
      <w:pPr>
        <w:jc w:val="both"/>
        <w:outlineLvl w:val="0"/>
        <w:rPr>
          <w:rFonts w:ascii="Tahoma" w:hAnsi="Tahoma" w:cs="Tahoma"/>
          <w:spacing w:val="-4"/>
          <w:sz w:val="18"/>
          <w:szCs w:val="18"/>
          <w:lang w:val="sr-Cyrl-BA"/>
        </w:rPr>
      </w:pPr>
    </w:p>
    <w:p w:rsidR="00F6318C" w:rsidRPr="00150D48" w:rsidRDefault="00F6318C" w:rsidP="00F6318C">
      <w:pPr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  <w:r w:rsidRPr="00150D48">
        <w:rPr>
          <w:rFonts w:ascii="Tahoma" w:hAnsi="Tahoma" w:cs="Tahoma"/>
          <w:sz w:val="18"/>
          <w:szCs w:val="18"/>
          <w:lang w:val="sr-Cyrl-BA"/>
        </w:rPr>
        <w:t>Остварено је 18 238 долазака, што је у односу на октобар 2011. године мање за 15,8%, и 45 015 ноћења, што је у односу на октобар 2011. године мање за 23,8%.</w:t>
      </w:r>
      <w:r w:rsidRPr="00150D48">
        <w:rPr>
          <w:sz w:val="18"/>
          <w:szCs w:val="18"/>
          <w:lang w:val="sr-Cyrl-BA"/>
        </w:rPr>
        <w:t xml:space="preserve"> </w:t>
      </w:r>
    </w:p>
    <w:p w:rsidR="00F6318C" w:rsidRPr="00150D48" w:rsidRDefault="00F6318C" w:rsidP="00F6318C">
      <w:pPr>
        <w:tabs>
          <w:tab w:val="left" w:pos="300"/>
          <w:tab w:val="left" w:pos="1100"/>
        </w:tabs>
        <w:jc w:val="both"/>
        <w:rPr>
          <w:rFonts w:ascii="Tahoma" w:hAnsi="Tahoma" w:cs="Tahoma"/>
          <w:spacing w:val="-14"/>
          <w:sz w:val="18"/>
          <w:szCs w:val="18"/>
          <w:lang w:val="sr-Cyrl-CS"/>
        </w:rPr>
      </w:pPr>
    </w:p>
    <w:p w:rsidR="00F6318C" w:rsidRPr="00150D48" w:rsidRDefault="00F6318C" w:rsidP="00F6318C">
      <w:pPr>
        <w:jc w:val="both"/>
        <w:outlineLvl w:val="0"/>
        <w:rPr>
          <w:rFonts w:ascii="Tahoma" w:hAnsi="Tahoma" w:cs="Tahoma"/>
          <w:b/>
          <w:sz w:val="18"/>
          <w:szCs w:val="18"/>
          <w:lang w:val="sr-Cyrl-BA"/>
        </w:rPr>
      </w:pPr>
      <w:r w:rsidRPr="00150D48">
        <w:rPr>
          <w:rFonts w:ascii="Tahoma" w:hAnsi="Tahoma" w:cs="Tahoma"/>
          <w:sz w:val="18"/>
          <w:szCs w:val="18"/>
          <w:lang w:val="ru-RU"/>
        </w:rPr>
        <w:t xml:space="preserve">Поредећи </w:t>
      </w:r>
      <w:r w:rsidRPr="00150D48">
        <w:rPr>
          <w:rFonts w:ascii="Tahoma" w:hAnsi="Tahoma" w:cs="Tahoma"/>
          <w:sz w:val="18"/>
          <w:szCs w:val="18"/>
          <w:lang w:val="sr-Cyrl-CS"/>
        </w:rPr>
        <w:t>новембар</w:t>
      </w:r>
      <w:r w:rsidRPr="00150D48">
        <w:rPr>
          <w:rFonts w:ascii="Tahoma" w:hAnsi="Tahoma" w:cs="Tahoma"/>
          <w:sz w:val="18"/>
          <w:szCs w:val="18"/>
          <w:lang w:val="ru-RU"/>
        </w:rPr>
        <w:t xml:space="preserve"> 20</w:t>
      </w:r>
      <w:r w:rsidRPr="00150D48">
        <w:rPr>
          <w:rFonts w:ascii="Tahoma" w:hAnsi="Tahoma" w:cs="Tahoma"/>
          <w:sz w:val="18"/>
          <w:szCs w:val="18"/>
          <w:lang w:val="sr-Cyrl-BA"/>
        </w:rPr>
        <w:t>1</w:t>
      </w:r>
      <w:r w:rsidRPr="00150D48">
        <w:rPr>
          <w:rFonts w:ascii="Tahoma" w:hAnsi="Tahoma" w:cs="Tahoma"/>
          <w:sz w:val="18"/>
          <w:szCs w:val="18"/>
          <w:lang w:val="sr-Cyrl-CS"/>
        </w:rPr>
        <w:t>1</w:t>
      </w:r>
      <w:r w:rsidRPr="00150D48">
        <w:rPr>
          <w:rFonts w:ascii="Tahoma" w:hAnsi="Tahoma" w:cs="Tahoma"/>
          <w:sz w:val="18"/>
          <w:szCs w:val="18"/>
          <w:lang w:val="ru-RU"/>
        </w:rPr>
        <w:t>. године у односу на новембар 2010. године, забиљежено је повећање броја долазака за 0</w:t>
      </w:r>
      <w:r w:rsidRPr="00150D48">
        <w:rPr>
          <w:rFonts w:ascii="Tahoma" w:hAnsi="Tahoma" w:cs="Tahoma"/>
          <w:sz w:val="18"/>
          <w:szCs w:val="18"/>
          <w:lang w:val="sr-Cyrl-BA"/>
        </w:rPr>
        <w:t>,03</w:t>
      </w:r>
      <w:r w:rsidRPr="00150D48">
        <w:rPr>
          <w:rFonts w:ascii="Tahoma" w:hAnsi="Tahoma" w:cs="Tahoma"/>
          <w:sz w:val="18"/>
          <w:szCs w:val="18"/>
          <w:lang w:val="ru-RU"/>
        </w:rPr>
        <w:t>% и повећање броја ноћења за 2</w:t>
      </w:r>
      <w:r w:rsidRPr="00150D48">
        <w:rPr>
          <w:rFonts w:ascii="Tahoma" w:hAnsi="Tahoma" w:cs="Tahoma"/>
          <w:sz w:val="18"/>
          <w:szCs w:val="18"/>
          <w:lang w:val="sr-Cyrl-BA"/>
        </w:rPr>
        <w:t>,8</w:t>
      </w:r>
      <w:r w:rsidRPr="00150D48">
        <w:rPr>
          <w:rFonts w:ascii="Tahoma" w:hAnsi="Tahoma" w:cs="Tahoma"/>
          <w:sz w:val="18"/>
          <w:szCs w:val="18"/>
          <w:lang w:val="ru-RU"/>
        </w:rPr>
        <w:t>%</w:t>
      </w:r>
      <w:r w:rsidRPr="00150D48">
        <w:rPr>
          <w:rFonts w:ascii="Tahoma" w:hAnsi="Tahoma" w:cs="Tahoma"/>
          <w:sz w:val="18"/>
          <w:szCs w:val="18"/>
          <w:lang w:val="sr-Cyrl-BA"/>
        </w:rPr>
        <w:t>.</w:t>
      </w:r>
    </w:p>
    <w:p w:rsidR="00F6318C" w:rsidRPr="00150D48" w:rsidRDefault="00F6318C" w:rsidP="00F6318C">
      <w:pPr>
        <w:jc w:val="both"/>
        <w:outlineLvl w:val="0"/>
        <w:rPr>
          <w:rFonts w:ascii="Tahoma" w:hAnsi="Tahoma" w:cs="Tahoma"/>
          <w:sz w:val="18"/>
          <w:szCs w:val="18"/>
          <w:lang w:val="sr-Cyrl-BA"/>
        </w:rPr>
      </w:pPr>
    </w:p>
    <w:p w:rsidR="00F6318C" w:rsidRPr="00150D48" w:rsidRDefault="00F6318C" w:rsidP="00F6318C">
      <w:pPr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  <w:r w:rsidRPr="00150D48">
        <w:rPr>
          <w:rFonts w:ascii="Tahoma" w:hAnsi="Tahoma" w:cs="Tahoma"/>
          <w:sz w:val="18"/>
          <w:szCs w:val="18"/>
          <w:lang w:val="sr-Cyrl-BA"/>
        </w:rPr>
        <w:t>У периоду јануар-новембар 2011. године остварено је 218 411 долазака, што је у односу на исти период претходне године мање за 0,1</w:t>
      </w:r>
      <w:r w:rsidRPr="00150D48">
        <w:rPr>
          <w:rFonts w:ascii="Tahoma" w:hAnsi="Tahoma" w:cs="Tahoma"/>
          <w:sz w:val="18"/>
          <w:szCs w:val="18"/>
          <w:lang w:val="ru-RU"/>
        </w:rPr>
        <w:t xml:space="preserve">%, и 574 090 ноћења, што је </w:t>
      </w:r>
      <w:r w:rsidRPr="00150D48">
        <w:rPr>
          <w:rFonts w:ascii="Tahoma" w:hAnsi="Tahoma" w:cs="Tahoma"/>
          <w:sz w:val="18"/>
          <w:szCs w:val="18"/>
          <w:lang w:val="sr-Cyrl-BA"/>
        </w:rPr>
        <w:t>у односу на исти период претходне године више за 5,6</w:t>
      </w:r>
      <w:r w:rsidRPr="00150D48">
        <w:rPr>
          <w:rFonts w:ascii="Tahoma" w:hAnsi="Tahoma" w:cs="Tahoma"/>
          <w:sz w:val="18"/>
          <w:szCs w:val="18"/>
          <w:lang w:val="ru-RU"/>
        </w:rPr>
        <w:t>%.</w:t>
      </w:r>
    </w:p>
    <w:p w:rsidR="00F6318C" w:rsidRPr="00150D48" w:rsidRDefault="00F6318C" w:rsidP="00F6318C">
      <w:pPr>
        <w:jc w:val="both"/>
        <w:outlineLvl w:val="0"/>
        <w:rPr>
          <w:rFonts w:ascii="Tahoma" w:hAnsi="Tahoma" w:cs="Tahoma"/>
          <w:sz w:val="18"/>
          <w:szCs w:val="18"/>
          <w:lang w:val="sr-Cyrl-BA"/>
        </w:rPr>
      </w:pPr>
    </w:p>
    <w:p w:rsidR="00F6318C" w:rsidRPr="00150D48" w:rsidRDefault="00F6318C" w:rsidP="00F6318C">
      <w:pPr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  <w:r w:rsidRPr="00150D48">
        <w:rPr>
          <w:rFonts w:ascii="Tahoma" w:hAnsi="Tahoma" w:cs="Tahoma"/>
          <w:sz w:val="18"/>
          <w:szCs w:val="18"/>
          <w:lang w:val="sr-Cyrl-BA"/>
        </w:rPr>
        <w:t xml:space="preserve">Домаћи туристи су остварили 11 291 долазака, што је у односу </w:t>
      </w:r>
      <w:r w:rsidRPr="00150D48">
        <w:rPr>
          <w:rFonts w:ascii="Tahoma" w:hAnsi="Tahoma" w:cs="Tahoma"/>
          <w:sz w:val="18"/>
          <w:szCs w:val="18"/>
          <w:lang w:val="ru-RU"/>
        </w:rPr>
        <w:t>на новембар 2010. године</w:t>
      </w:r>
      <w:r w:rsidRPr="00150D48">
        <w:rPr>
          <w:rFonts w:ascii="Tahoma" w:hAnsi="Tahoma" w:cs="Tahoma"/>
          <w:sz w:val="18"/>
          <w:szCs w:val="18"/>
          <w:lang w:val="sr-Cyrl-BA"/>
        </w:rPr>
        <w:t xml:space="preserve"> мање за 2,6%, као и 28 893 ноћења, што је у односу </w:t>
      </w:r>
      <w:r w:rsidRPr="00150D48">
        <w:rPr>
          <w:rFonts w:ascii="Tahoma" w:hAnsi="Tahoma" w:cs="Tahoma"/>
          <w:sz w:val="18"/>
          <w:szCs w:val="18"/>
          <w:lang w:val="ru-RU"/>
        </w:rPr>
        <w:t>на новембар 2010. године мање за 0,2%.</w:t>
      </w:r>
    </w:p>
    <w:p w:rsidR="00F6318C" w:rsidRPr="00150D48" w:rsidRDefault="00F6318C" w:rsidP="00F6318C">
      <w:pPr>
        <w:jc w:val="both"/>
        <w:outlineLvl w:val="0"/>
        <w:rPr>
          <w:rFonts w:ascii="Tahoma" w:hAnsi="Tahoma" w:cs="Tahoma"/>
          <w:b/>
          <w:sz w:val="18"/>
          <w:szCs w:val="18"/>
          <w:lang w:val="sr-Cyrl-BA"/>
        </w:rPr>
      </w:pPr>
    </w:p>
    <w:p w:rsidR="00F6318C" w:rsidRPr="00150D48" w:rsidRDefault="00F6318C" w:rsidP="00F6318C">
      <w:pPr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  <w:r w:rsidRPr="00150D48">
        <w:rPr>
          <w:rFonts w:ascii="Tahoma" w:hAnsi="Tahoma" w:cs="Tahoma"/>
          <w:sz w:val="18"/>
          <w:szCs w:val="18"/>
          <w:lang w:val="sr-Cyrl-BA"/>
        </w:rPr>
        <w:t xml:space="preserve">Страни туристи су остварили 6 947 долазака, што је у односу </w:t>
      </w:r>
      <w:r w:rsidRPr="00150D48">
        <w:rPr>
          <w:rFonts w:ascii="Tahoma" w:hAnsi="Tahoma" w:cs="Tahoma"/>
          <w:sz w:val="18"/>
          <w:szCs w:val="18"/>
          <w:lang w:val="ru-RU"/>
        </w:rPr>
        <w:t>на новембар 2010. године</w:t>
      </w:r>
      <w:r w:rsidRPr="00150D48">
        <w:rPr>
          <w:rFonts w:ascii="Tahoma" w:hAnsi="Tahoma" w:cs="Tahoma"/>
          <w:sz w:val="18"/>
          <w:szCs w:val="18"/>
          <w:lang w:val="sr-Cyrl-BA"/>
        </w:rPr>
        <w:t xml:space="preserve"> више за 4,7%, као и  16 122 ноћења, што је у односу </w:t>
      </w:r>
      <w:r w:rsidRPr="00150D48">
        <w:rPr>
          <w:rFonts w:ascii="Tahoma" w:hAnsi="Tahoma" w:cs="Tahoma"/>
          <w:sz w:val="18"/>
          <w:szCs w:val="18"/>
          <w:lang w:val="ru-RU"/>
        </w:rPr>
        <w:t>на новембар 2010. године више за 8,6%.</w:t>
      </w:r>
    </w:p>
    <w:p w:rsidR="00F6318C" w:rsidRPr="00150D48" w:rsidRDefault="00F6318C" w:rsidP="00F6318C">
      <w:pPr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</w:p>
    <w:p w:rsidR="00F6318C" w:rsidRPr="00150D48" w:rsidRDefault="00F6318C" w:rsidP="00F6318C">
      <w:pPr>
        <w:jc w:val="both"/>
        <w:rPr>
          <w:rFonts w:ascii="Tahoma" w:hAnsi="Tahoma" w:cs="Tahoma"/>
          <w:b/>
          <w:sz w:val="18"/>
          <w:szCs w:val="18"/>
          <w:lang w:val="sr-Latn-BA"/>
        </w:rPr>
      </w:pPr>
      <w:r w:rsidRPr="00150D48">
        <w:rPr>
          <w:rFonts w:ascii="Tahoma" w:hAnsi="Tahoma" w:cs="Tahoma"/>
          <w:sz w:val="18"/>
          <w:szCs w:val="18"/>
          <w:lang w:val="ru-RU"/>
        </w:rPr>
        <w:t>Од страних туриста, највише ноћења су остварили туристи из Србије (5 692), што је у односу на  новембар 2010. године мање за 1,9%. На другом мјесту је Хрватска са остварених 3 936 ноћења, што је у односу на новембар 2010. године више за 41,0%. На трећем мјесту по оствареном броју ноћења је Аустрија (1 137), што је у односу на новембар 2010. године више за 207,3%.</w:t>
      </w:r>
    </w:p>
    <w:p w:rsidR="00F94323" w:rsidRPr="00150D48" w:rsidRDefault="00F94323" w:rsidP="0020048F">
      <w:pPr>
        <w:ind w:firstLine="720"/>
        <w:jc w:val="both"/>
        <w:rPr>
          <w:rFonts w:ascii="Tahoma" w:hAnsi="Tahoma" w:cs="Tahoma"/>
          <w:b/>
          <w:sz w:val="18"/>
          <w:szCs w:val="18"/>
          <w:lang w:val="sr-Latn-BA"/>
        </w:rPr>
      </w:pPr>
    </w:p>
    <w:p w:rsidR="00FB6D41" w:rsidRPr="00150D48" w:rsidRDefault="00FB6D41" w:rsidP="0020048F">
      <w:pPr>
        <w:ind w:firstLine="720"/>
        <w:jc w:val="both"/>
        <w:rPr>
          <w:rFonts w:ascii="Tahoma" w:hAnsi="Tahoma" w:cs="Tahoma"/>
          <w:b/>
          <w:sz w:val="18"/>
          <w:szCs w:val="18"/>
          <w:lang w:val="sr-Latn-BA"/>
        </w:rPr>
      </w:pPr>
    </w:p>
    <w:p w:rsidR="00DB6D76" w:rsidRPr="00150D48" w:rsidRDefault="00DB6D76" w:rsidP="007F2C40">
      <w:pPr>
        <w:ind w:firstLine="720"/>
        <w:jc w:val="both"/>
        <w:rPr>
          <w:rFonts w:ascii="Tahoma" w:hAnsi="Tahoma" w:cs="Tahoma"/>
          <w:bCs/>
          <w:sz w:val="18"/>
          <w:szCs w:val="18"/>
          <w:lang w:val="sr-Cyrl-BA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8C3261" w:rsidRPr="00150D48" w:rsidTr="00542A21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150D48" w:rsidRDefault="008C3261" w:rsidP="00542A21">
            <w:pPr>
              <w:rPr>
                <w:rFonts w:ascii="Tahoma" w:hAnsi="Tahoma" w:cs="Tahoma"/>
                <w:b/>
                <w:lang w:val="sr-Cyrl-CS"/>
              </w:rPr>
            </w:pPr>
            <w:r w:rsidRPr="00150D48">
              <w:rPr>
                <w:rFonts w:ascii="Tahoma" w:hAnsi="Tahoma" w:cs="Tahoma"/>
                <w:b/>
                <w:lang w:val="sr-Cyrl-CS"/>
              </w:rPr>
              <w:lastRenderedPageBreak/>
              <w:t xml:space="preserve">МАТЕРИЈАЛ ПРИПРЕМИЛИ: </w:t>
            </w:r>
          </w:p>
        </w:tc>
      </w:tr>
      <w:tr w:rsidR="008C3261" w:rsidRPr="00150D48" w:rsidTr="00A23F12">
        <w:trPr>
          <w:trHeight w:hRule="exact" w:val="102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0E43" w:rsidRPr="00150D48" w:rsidRDefault="000F0E43" w:rsidP="000F0E43">
            <w:pPr>
              <w:rPr>
                <w:rFonts w:ascii="Tahoma" w:hAnsi="Tahoma" w:cs="Tahoma"/>
                <w:b/>
                <w:sz w:val="16"/>
                <w:lang w:val="ru-RU"/>
              </w:rPr>
            </w:pPr>
            <w:r w:rsidRPr="00150D48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рада </w:t>
            </w:r>
          </w:p>
          <w:p w:rsidR="000F0E43" w:rsidRPr="00150D48" w:rsidRDefault="00C02566" w:rsidP="000F0E43">
            <w:pPr>
              <w:rPr>
                <w:rFonts w:ascii="Tahoma" w:hAnsi="Tahoma" w:cs="Tahoma"/>
                <w:sz w:val="16"/>
                <w:lang w:val="bs-Cyrl-BA"/>
              </w:rPr>
            </w:pPr>
            <w:r w:rsidRPr="00150D48">
              <w:rPr>
                <w:rFonts w:ascii="Tahoma" w:hAnsi="Tahoma" w:cs="Tahoma"/>
                <w:sz w:val="16"/>
                <w:lang w:val="bs-Cyrl-BA"/>
              </w:rPr>
              <w:t>Биљана Глушац</w:t>
            </w:r>
          </w:p>
          <w:p w:rsidR="00A23F12" w:rsidRPr="00150D48" w:rsidRDefault="00EB4B44" w:rsidP="000F0E43">
            <w:pPr>
              <w:rPr>
                <w:rFonts w:ascii="Tahoma" w:hAnsi="Tahoma" w:cs="Tahoma"/>
                <w:sz w:val="16"/>
                <w:szCs w:val="16"/>
              </w:rPr>
            </w:pPr>
            <w:hyperlink r:id="rId12" w:history="1">
              <w:r w:rsidR="00C02566" w:rsidRPr="00150D4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</w:rPr>
                <w:t>biljana.glisic@rzs.rs.ba</w:t>
              </w:r>
            </w:hyperlink>
            <w:r w:rsidR="00C02566" w:rsidRPr="00150D48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0F0E43" w:rsidRPr="00150D48" w:rsidRDefault="00A23F12" w:rsidP="000F0E43">
            <w:pPr>
              <w:rPr>
                <w:rFonts w:ascii="Tahoma" w:hAnsi="Tahoma" w:cs="Tahoma"/>
                <w:sz w:val="16"/>
                <w:lang w:val="sr-Cyrl-CS"/>
              </w:rPr>
            </w:pPr>
            <w:r w:rsidRPr="00150D48">
              <w:rPr>
                <w:rFonts w:ascii="Tahoma" w:hAnsi="Tahoma" w:cs="Tahoma"/>
                <w:sz w:val="16"/>
                <w:lang w:val="sr-Cyrl-CS"/>
              </w:rPr>
              <w:t>Владимир Копривица</w:t>
            </w:r>
          </w:p>
          <w:p w:rsidR="00A23F12" w:rsidRPr="00150D48" w:rsidRDefault="00EB4B44" w:rsidP="000F0E43">
            <w:pPr>
              <w:rPr>
                <w:rFonts w:ascii="Tahoma" w:hAnsi="Tahoma" w:cs="Tahoma"/>
                <w:sz w:val="16"/>
              </w:rPr>
            </w:pPr>
            <w:hyperlink r:id="rId13" w:history="1">
              <w:r w:rsidR="00C02566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vladimir.koprivica@rzs.rs.ba</w:t>
              </w:r>
            </w:hyperlink>
          </w:p>
          <w:p w:rsidR="00A23F12" w:rsidRPr="00150D48" w:rsidRDefault="00A23F12" w:rsidP="000F0E43">
            <w:pPr>
              <w:rPr>
                <w:rFonts w:ascii="Tahoma" w:hAnsi="Tahoma" w:cs="Tahoma"/>
                <w:sz w:val="16"/>
              </w:rPr>
            </w:pPr>
          </w:p>
          <w:p w:rsidR="000F0E43" w:rsidRPr="00150D48" w:rsidRDefault="000F0E43" w:rsidP="000F0E43">
            <w:pPr>
              <w:rPr>
                <w:rFonts w:ascii="Tahoma" w:hAnsi="Tahoma" w:cs="Tahoma"/>
                <w:sz w:val="16"/>
                <w:lang w:val="bs-Cyrl-BA"/>
              </w:rPr>
            </w:pPr>
          </w:p>
          <w:p w:rsidR="008C3261" w:rsidRPr="00150D48" w:rsidRDefault="008C3261" w:rsidP="00542A21">
            <w:pPr>
              <w:rPr>
                <w:rFonts w:ascii="Tahoma" w:hAnsi="Tahoma" w:cs="Tahoma"/>
                <w:sz w:val="16"/>
                <w:lang w:val="bs-Cyrl-BA"/>
              </w:rPr>
            </w:pPr>
          </w:p>
          <w:p w:rsidR="008C3261" w:rsidRPr="00150D48" w:rsidRDefault="008C3261" w:rsidP="00542A21">
            <w:pPr>
              <w:rPr>
                <w:rFonts w:ascii="Tahoma" w:hAnsi="Tahoma" w:cs="Tahoma"/>
                <w:b/>
                <w:sz w:val="16"/>
                <w:lang w:val="sr-Cyrl-BA"/>
              </w:rPr>
            </w:pPr>
          </w:p>
        </w:tc>
      </w:tr>
      <w:tr w:rsidR="00CC25AA" w:rsidRPr="00150D48" w:rsidTr="00E92C59">
        <w:trPr>
          <w:trHeight w:hRule="exact" w:val="607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CC25AA" w:rsidRPr="00150D48" w:rsidRDefault="00CC25AA" w:rsidP="00CC25AA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 w:rsidRPr="00150D48">
              <w:rPr>
                <w:rFonts w:ascii="Tahoma" w:hAnsi="Tahoma" w:cs="Tahoma"/>
                <w:b/>
                <w:sz w:val="16"/>
                <w:lang w:val="sr-Cyrl-CS"/>
              </w:rPr>
              <w:t>Статистика  националних рачуна</w:t>
            </w:r>
          </w:p>
          <w:p w:rsidR="00CC25AA" w:rsidRPr="00150D48" w:rsidRDefault="00E92C59" w:rsidP="00CC25AA">
            <w:pPr>
              <w:rPr>
                <w:rFonts w:ascii="Tahoma" w:hAnsi="Tahoma" w:cs="Tahoma"/>
                <w:sz w:val="16"/>
              </w:rPr>
            </w:pPr>
            <w:r w:rsidRPr="00150D48">
              <w:rPr>
                <w:rFonts w:ascii="Tahoma" w:hAnsi="Tahoma" w:cs="Tahoma"/>
                <w:sz w:val="16"/>
                <w:lang w:val="sr-Cyrl-CS"/>
              </w:rPr>
              <w:t>Жана Алагић</w:t>
            </w:r>
          </w:p>
          <w:p w:rsidR="00CC25AA" w:rsidRPr="00150D48" w:rsidRDefault="00EB4B44" w:rsidP="00CC25AA">
            <w:hyperlink r:id="rId14" w:history="1">
              <w:r w:rsidR="00E92C59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zana.alagic</w:t>
              </w:r>
              <w:r w:rsidR="00E92C59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@</w:t>
              </w:r>
              <w:r w:rsidR="00E92C59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E92C59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E92C59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E92C59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proofErr w:type="spellStart"/>
              <w:r w:rsidR="00E92C59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CC25AA" w:rsidRPr="00150D48" w:rsidRDefault="00CC25AA" w:rsidP="00E92C59">
            <w:pPr>
              <w:rPr>
                <w:rFonts w:ascii="Tahoma" w:hAnsi="Tahoma" w:cs="Tahoma"/>
                <w:b/>
                <w:sz w:val="16"/>
                <w:lang w:val="sr-Cyrl-CS"/>
              </w:rPr>
            </w:pPr>
          </w:p>
        </w:tc>
      </w:tr>
      <w:tr w:rsidR="008C3261" w:rsidRPr="00150D48" w:rsidTr="008D6CFA">
        <w:trPr>
          <w:trHeight w:hRule="exact" w:val="72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150D48" w:rsidRDefault="008C3261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 w:rsidRPr="00150D48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цијена </w:t>
            </w:r>
          </w:p>
          <w:p w:rsidR="008C3261" w:rsidRPr="00150D48" w:rsidRDefault="008C3261" w:rsidP="00542A21">
            <w:pPr>
              <w:rPr>
                <w:rFonts w:ascii="Tahoma" w:hAnsi="Tahoma" w:cs="Tahoma"/>
                <w:sz w:val="16"/>
                <w:lang w:val="sr-Cyrl-BA"/>
              </w:rPr>
            </w:pPr>
            <w:r w:rsidRPr="00150D48">
              <w:rPr>
                <w:rFonts w:ascii="Tahoma" w:hAnsi="Tahoma" w:cs="Tahoma"/>
                <w:sz w:val="16"/>
                <w:lang w:val="sr-Cyrl-BA"/>
              </w:rPr>
              <w:t>Јасминка Милић</w:t>
            </w:r>
          </w:p>
          <w:p w:rsidR="008C3261" w:rsidRPr="00150D48" w:rsidRDefault="00EB4B44" w:rsidP="00542A21">
            <w:pPr>
              <w:rPr>
                <w:rFonts w:ascii="Tahoma" w:hAnsi="Tahoma" w:cs="Tahoma"/>
                <w:sz w:val="16"/>
                <w:lang w:val="bs-Cyrl-BA"/>
              </w:rPr>
            </w:pPr>
            <w:hyperlink r:id="rId15" w:history="1">
              <w:r w:rsidR="008C3261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jasminka</w:t>
              </w:r>
              <w:r w:rsidR="008C3261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C3261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milic</w:t>
              </w:r>
              <w:r w:rsidR="008C3261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8C3261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C3261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C3261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="008C3261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8C3261" w:rsidRPr="00150D48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150D48" w:rsidTr="00542A21">
        <w:trPr>
          <w:trHeight w:hRule="exact" w:val="726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150D48" w:rsidRDefault="008C3261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 w:rsidRPr="00150D48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индустрије и рударства </w:t>
            </w:r>
          </w:p>
          <w:p w:rsidR="008C3261" w:rsidRPr="00150D48" w:rsidRDefault="008D6CFA" w:rsidP="00542A21">
            <w:pPr>
              <w:rPr>
                <w:rFonts w:ascii="Tahoma" w:hAnsi="Tahoma" w:cs="Tahoma"/>
                <w:sz w:val="16"/>
                <w:lang w:val="sr-Cyrl-BA"/>
              </w:rPr>
            </w:pPr>
            <w:r w:rsidRPr="00150D48">
              <w:rPr>
                <w:rFonts w:ascii="Tahoma" w:hAnsi="Tahoma" w:cs="Tahoma"/>
                <w:sz w:val="16"/>
                <w:lang w:val="sr-Cyrl-CS"/>
              </w:rPr>
              <w:t>Мирјана Бандур</w:t>
            </w:r>
          </w:p>
          <w:p w:rsidR="008C3261" w:rsidRPr="00150D48" w:rsidRDefault="00EB4B44" w:rsidP="00542A21">
            <w:pPr>
              <w:rPr>
                <w:rFonts w:ascii="Tahoma" w:hAnsi="Tahoma" w:cs="Tahoma"/>
                <w:b/>
                <w:sz w:val="16"/>
                <w:lang w:val="sr-Cyrl-BA"/>
              </w:rPr>
            </w:pPr>
            <w:hyperlink r:id="rId16" w:history="1">
              <w:r w:rsidR="008D6CFA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mirjana</w:t>
              </w:r>
              <w:r w:rsidR="008D6CFA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D6CFA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bandur</w:t>
              </w:r>
              <w:r w:rsidR="008D6CFA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@</w:t>
              </w:r>
              <w:r w:rsidR="008D6CFA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D6CFA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D6CFA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D6CFA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proofErr w:type="spellStart"/>
              <w:r w:rsidR="008D6CFA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  <w:r w:rsidR="008C3261" w:rsidRPr="00150D48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  <w:p w:rsidR="008C3261" w:rsidRPr="00150D48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150D48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150D48" w:rsidRDefault="008C3261" w:rsidP="00542A21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 w:rsidRPr="00150D48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спољне трговине </w:t>
            </w:r>
          </w:p>
          <w:p w:rsidR="008C3261" w:rsidRPr="00150D48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  <w:r w:rsidRPr="00150D48">
              <w:rPr>
                <w:rFonts w:ascii="Tahoma" w:hAnsi="Tahoma" w:cs="Tahoma"/>
                <w:sz w:val="16"/>
                <w:lang w:val="sr-Cyrl-CS"/>
              </w:rPr>
              <w:t>Сања Стојчевић</w:t>
            </w:r>
          </w:p>
          <w:p w:rsidR="008C3261" w:rsidRPr="00150D48" w:rsidRDefault="00EB4B44" w:rsidP="00542A21">
            <w:pPr>
              <w:rPr>
                <w:rFonts w:ascii="Tahoma" w:hAnsi="Tahoma" w:cs="Tahoma"/>
                <w:sz w:val="16"/>
                <w:lang w:val="sr-Cyrl-BA"/>
              </w:rPr>
            </w:pPr>
            <w:hyperlink r:id="rId17" w:history="1">
              <w:r w:rsidR="008C3261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sanja</w:t>
              </w:r>
              <w:r w:rsidR="008C3261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stojcevic</w:t>
              </w:r>
              <w:r w:rsidR="008C3261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8C3261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C3261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C3261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="008C3261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8C3261" w:rsidRPr="00150D48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D6CFA" w:rsidRPr="00150D48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D6CFA" w:rsidRPr="00150D48" w:rsidRDefault="008D6CFA" w:rsidP="008D6CFA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 w:rsidRPr="00150D48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унутрашње трговине </w:t>
            </w:r>
          </w:p>
          <w:p w:rsidR="008D6CFA" w:rsidRPr="00150D48" w:rsidRDefault="008D6CFA" w:rsidP="008D6CFA">
            <w:pPr>
              <w:rPr>
                <w:rFonts w:ascii="Tahoma" w:hAnsi="Tahoma" w:cs="Tahoma"/>
                <w:sz w:val="16"/>
                <w:lang w:val="sr-Cyrl-CS"/>
              </w:rPr>
            </w:pPr>
            <w:r w:rsidRPr="00150D48">
              <w:rPr>
                <w:rFonts w:ascii="Tahoma" w:hAnsi="Tahoma" w:cs="Tahoma"/>
                <w:sz w:val="16"/>
                <w:lang w:val="sr-Cyrl-CS"/>
              </w:rPr>
              <w:t>Санела Васиљевић</w:t>
            </w:r>
          </w:p>
          <w:p w:rsidR="008D6CFA" w:rsidRPr="00150D48" w:rsidRDefault="00EB4B44" w:rsidP="008D6CFA">
            <w:pPr>
              <w:rPr>
                <w:rFonts w:ascii="Tahoma" w:hAnsi="Tahoma" w:cs="Tahoma"/>
                <w:sz w:val="16"/>
                <w:lang w:val="sr-Cyrl-BA"/>
              </w:rPr>
            </w:pPr>
            <w:hyperlink r:id="rId18" w:history="1">
              <w:r w:rsidR="00923E34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sanela</w:t>
              </w:r>
              <w:r w:rsidR="00923E34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23E34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vasiljevic</w:t>
              </w:r>
              <w:r w:rsidR="00923E34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923E34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923E34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23E34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923E34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="00923E34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8D6CFA" w:rsidRPr="00150D48" w:rsidRDefault="008D6CFA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</w:p>
        </w:tc>
      </w:tr>
      <w:tr w:rsidR="00E859F8" w:rsidRPr="00150D48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E859F8" w:rsidRPr="00150D48" w:rsidRDefault="00E859F8" w:rsidP="00E859F8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 w:rsidRPr="00150D48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туризма </w:t>
            </w:r>
          </w:p>
          <w:p w:rsidR="00E859F8" w:rsidRPr="00150D48" w:rsidRDefault="00E859F8" w:rsidP="00E859F8">
            <w:pPr>
              <w:rPr>
                <w:rFonts w:ascii="Tahoma" w:hAnsi="Tahoma" w:cs="Tahoma"/>
                <w:sz w:val="16"/>
              </w:rPr>
            </w:pPr>
            <w:r w:rsidRPr="00150D48">
              <w:rPr>
                <w:rFonts w:ascii="Tahoma" w:hAnsi="Tahoma" w:cs="Tahoma"/>
                <w:sz w:val="16"/>
                <w:lang w:val="sr-Cyrl-CS"/>
              </w:rPr>
              <w:t>Мирослав Илић</w:t>
            </w:r>
          </w:p>
          <w:p w:rsidR="00E859F8" w:rsidRPr="00150D48" w:rsidRDefault="00EB4B44" w:rsidP="00E859F8">
            <w:pPr>
              <w:rPr>
                <w:rFonts w:ascii="Tahoma" w:hAnsi="Tahoma" w:cs="Tahoma"/>
                <w:sz w:val="16"/>
                <w:lang w:val="sr-Cyrl-BA"/>
              </w:rPr>
            </w:pPr>
            <w:hyperlink r:id="rId19" w:history="1">
              <w:r w:rsidR="00E859F8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miroslav</w:t>
              </w:r>
              <w:r w:rsidR="00E859F8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E859F8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ilic</w:t>
              </w:r>
              <w:r w:rsidR="00E859F8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E859F8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E859F8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E859F8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E859F8" w:rsidRPr="00150D4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="00E859F8" w:rsidRPr="00150D4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E859F8" w:rsidRPr="00150D48" w:rsidRDefault="00E859F8" w:rsidP="008D6CFA">
            <w:pPr>
              <w:rPr>
                <w:rFonts w:ascii="Tahoma" w:hAnsi="Tahoma" w:cs="Tahoma"/>
                <w:b/>
                <w:sz w:val="16"/>
                <w:lang w:val="sr-Cyrl-CS"/>
              </w:rPr>
            </w:pPr>
          </w:p>
        </w:tc>
      </w:tr>
    </w:tbl>
    <w:p w:rsidR="00C14E1B" w:rsidRPr="00150D48" w:rsidRDefault="00C14E1B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ru-RU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8"/>
      </w:tblGrid>
      <w:tr w:rsidR="008C3261" w:rsidRPr="00150D48" w:rsidTr="00542A21">
        <w:trPr>
          <w:trHeight w:hRule="exact" w:val="340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150D48" w:rsidRDefault="008C3261" w:rsidP="00542A21">
            <w:pPr>
              <w:rPr>
                <w:rFonts w:ascii="Tahoma" w:hAnsi="Tahoma" w:cs="Tahoma"/>
                <w:b/>
                <w:lang w:val="sr-Cyrl-CS"/>
              </w:rPr>
            </w:pPr>
            <w:r w:rsidRPr="00150D48">
              <w:rPr>
                <w:rFonts w:ascii="Tahoma" w:hAnsi="Tahoma" w:cs="Tahoma"/>
                <w:b/>
                <w:lang w:val="sr-Cyrl-CS"/>
              </w:rPr>
              <w:t>ОБЈАШЊЕЊА ПОЈМОВА</w:t>
            </w:r>
          </w:p>
        </w:tc>
      </w:tr>
      <w:tr w:rsidR="008C3261" w:rsidRPr="00150D48" w:rsidTr="00542A21">
        <w:trPr>
          <w:trHeight w:hRule="exact" w:val="299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150D48" w:rsidRDefault="008C3261" w:rsidP="00542A21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150D48">
              <w:rPr>
                <w:rFonts w:ascii="Tahoma" w:hAnsi="Tahoma" w:cs="Tahoma"/>
                <w:b/>
                <w:bCs/>
              </w:rPr>
              <w:sym w:font="Symbol" w:char="00C6"/>
            </w:r>
            <w:r w:rsidRPr="00150D48"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150D48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>- просјек</w:t>
            </w:r>
          </w:p>
        </w:tc>
      </w:tr>
    </w:tbl>
    <w:p w:rsidR="00A115B5" w:rsidRPr="00150D48" w:rsidRDefault="00A115B5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DB6D76" w:rsidRPr="00150D48" w:rsidRDefault="00DB6D76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F8723A" w:rsidRPr="00150D48" w:rsidRDefault="00F8723A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9B294C" w:rsidRPr="00150D48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150D48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150D48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150D48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9B294C" w:rsidRPr="00150D48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9B294C" w:rsidRPr="00150D48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9B294C" w:rsidRPr="00150D48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150D48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E92C59" w:rsidRPr="00150D48" w:rsidRDefault="00E92C59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E92C59" w:rsidRDefault="00E92C59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765234" w:rsidRDefault="00765234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765234" w:rsidRDefault="00765234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E92C59" w:rsidRPr="00150D48" w:rsidRDefault="00E92C59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E92C59" w:rsidRPr="00150D48" w:rsidRDefault="00E92C59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E92C59" w:rsidRPr="00150D48" w:rsidRDefault="00E92C59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150D48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150D48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150D48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A72953" w:rsidRPr="00150D48" w:rsidRDefault="00A7295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8C3261" w:rsidRPr="00150D48" w:rsidRDefault="00EB4B44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  <w:r w:rsidRPr="00EB4B44">
        <w:rPr>
          <w:rFonts w:ascii="Tahoma" w:hAnsi="Tahoma" w:cs="Tahoma"/>
          <w:noProof/>
          <w:sz w:val="16"/>
        </w:rPr>
        <w:pict>
          <v:line id="_x0000_s1056" style="position:absolute;z-index:251654144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348" w:type="dxa"/>
        <w:tblLook w:val="01E0"/>
      </w:tblPr>
      <w:tblGrid>
        <w:gridCol w:w="10348"/>
      </w:tblGrid>
      <w:tr w:rsidR="008C3261" w:rsidRPr="00150D48" w:rsidTr="00542A21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150D48" w:rsidRDefault="008C3261" w:rsidP="00542A21">
            <w:pPr>
              <w:jc w:val="center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150D48" w:rsidTr="00542A21"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150D48" w:rsidRDefault="008C3261" w:rsidP="00477CB9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r w:rsidRPr="00150D48">
              <w:rPr>
                <w:rFonts w:ascii="Tahoma" w:hAnsi="Tahoma" w:cs="Tahoma"/>
                <w:sz w:val="16"/>
                <w:lang w:val="sr-Cyrl-CS"/>
              </w:rPr>
              <w:t>Саопш</w:t>
            </w:r>
            <w:proofErr w:type="spellStart"/>
            <w:r w:rsidRPr="00150D48">
              <w:rPr>
                <w:rFonts w:ascii="Tahoma" w:hAnsi="Tahoma" w:cs="Tahoma"/>
                <w:sz w:val="16"/>
              </w:rPr>
              <w:t>те</w:t>
            </w:r>
            <w:proofErr w:type="spellEnd"/>
            <w:r w:rsidRPr="00150D48">
              <w:rPr>
                <w:rFonts w:ascii="Tahoma" w:hAnsi="Tahoma" w:cs="Tahoma"/>
                <w:sz w:val="16"/>
                <w:lang w:val="sr-Cyrl-CS"/>
              </w:rPr>
              <w:t>њ</w:t>
            </w:r>
            <w:r w:rsidRPr="00150D48">
              <w:rPr>
                <w:rFonts w:ascii="Tahoma" w:hAnsi="Tahoma" w:cs="Tahoma"/>
                <w:sz w:val="16"/>
              </w:rPr>
              <w:t xml:space="preserve">е </w:t>
            </w:r>
            <w:r w:rsidR="00477CB9" w:rsidRPr="00150D48">
              <w:rPr>
                <w:rFonts w:ascii="Tahoma" w:hAnsi="Tahoma" w:cs="Tahoma"/>
                <w:sz w:val="16"/>
                <w:lang w:val="sr-Cyrl-BA"/>
              </w:rPr>
              <w:t>припрем</w:t>
            </w:r>
            <w:r w:rsidRPr="00150D48">
              <w:rPr>
                <w:rFonts w:ascii="Tahoma" w:hAnsi="Tahoma" w:cs="Tahoma"/>
                <w:sz w:val="16"/>
                <w:lang w:val="sr-Cyrl-BA"/>
              </w:rPr>
              <w:t>ило</w:t>
            </w:r>
            <w:r w:rsidRPr="00150D48">
              <w:rPr>
                <w:rFonts w:ascii="Tahoma" w:hAnsi="Tahoma" w:cs="Tahoma"/>
                <w:sz w:val="16"/>
              </w:rPr>
              <w:t xml:space="preserve"> </w:t>
            </w:r>
            <w:r w:rsidRPr="00150D48">
              <w:rPr>
                <w:rFonts w:ascii="Tahoma" w:hAnsi="Tahoma" w:cs="Tahoma"/>
                <w:sz w:val="16"/>
                <w:lang w:val="sr-Cyrl-CS"/>
              </w:rPr>
              <w:t xml:space="preserve">одјељење публикација </w:t>
            </w:r>
          </w:p>
        </w:tc>
      </w:tr>
      <w:tr w:rsidR="008C3261" w:rsidRPr="00150D48" w:rsidTr="00542A21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150D48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150D48">
              <w:rPr>
                <w:rFonts w:ascii="Tahoma" w:hAnsi="Tahoma" w:cs="Tahoma"/>
                <w:sz w:val="16"/>
                <w:lang w:val="ru-RU"/>
              </w:rPr>
              <w:t xml:space="preserve">Владан Сибиновић, начелник одјељења </w:t>
            </w:r>
          </w:p>
          <w:p w:rsidR="008C3261" w:rsidRPr="00150D48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150D48">
              <w:rPr>
                <w:rFonts w:ascii="Tahoma" w:hAnsi="Tahoma" w:cs="Tahoma"/>
                <w:sz w:val="16"/>
                <w:lang w:val="ru-RU"/>
              </w:rPr>
              <w:t>Издаје Републички завод за статистику,</w:t>
            </w:r>
          </w:p>
          <w:p w:rsidR="008C3261" w:rsidRPr="00150D48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150D48">
              <w:rPr>
                <w:rFonts w:ascii="Tahoma" w:hAnsi="Tahoma" w:cs="Tahoma"/>
                <w:sz w:val="16"/>
                <w:lang w:val="sr-Cyrl-CS"/>
              </w:rPr>
              <w:t xml:space="preserve">Република Српска, </w:t>
            </w:r>
            <w:r w:rsidRPr="00150D48">
              <w:rPr>
                <w:rFonts w:ascii="Tahoma" w:hAnsi="Tahoma" w:cs="Tahoma"/>
                <w:sz w:val="16"/>
                <w:lang w:val="ru-RU"/>
              </w:rPr>
              <w:t>Бања Лука, Вељка Млађеновића 12д</w:t>
            </w:r>
          </w:p>
          <w:p w:rsidR="008C3261" w:rsidRPr="00150D48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BA"/>
              </w:rPr>
            </w:pPr>
            <w:r w:rsidRPr="00150D48">
              <w:rPr>
                <w:rFonts w:ascii="Tahoma" w:hAnsi="Tahoma" w:cs="Tahoma"/>
                <w:sz w:val="16"/>
                <w:lang w:val="sr-Cyrl-CS"/>
              </w:rPr>
              <w:t>Др Радмила Чичковић, д</w:t>
            </w:r>
            <w:r w:rsidRPr="00150D48">
              <w:rPr>
                <w:rFonts w:ascii="Tahoma" w:hAnsi="Tahoma" w:cs="Tahoma"/>
                <w:sz w:val="16"/>
                <w:lang w:val="ru-RU"/>
              </w:rPr>
              <w:t>иректор</w:t>
            </w:r>
            <w:r w:rsidRPr="00150D48">
              <w:rPr>
                <w:rFonts w:ascii="Tahoma" w:hAnsi="Tahoma" w:cs="Tahoma"/>
                <w:sz w:val="16"/>
                <w:lang w:val="sr-Cyrl-BA"/>
              </w:rPr>
              <w:t xml:space="preserve"> Завода</w:t>
            </w:r>
          </w:p>
          <w:p w:rsidR="008C3261" w:rsidRPr="00150D48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150D48">
              <w:rPr>
                <w:rFonts w:ascii="Tahoma" w:hAnsi="Tahoma" w:cs="Tahoma"/>
                <w:sz w:val="16"/>
                <w:lang w:val="sr-Cyrl-CS"/>
              </w:rPr>
              <w:t xml:space="preserve">Саопштење је објављено на Интернету, на адреси: </w:t>
            </w:r>
            <w:r w:rsidRPr="00150D48">
              <w:rPr>
                <w:rFonts w:ascii="Tahoma" w:hAnsi="Tahoma" w:cs="Tahoma"/>
                <w:sz w:val="16"/>
                <w:szCs w:val="16"/>
                <w:lang w:val="fr-FR"/>
              </w:rPr>
              <w:t>www</w:t>
            </w:r>
            <w:r w:rsidRPr="00150D48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150D48">
              <w:rPr>
                <w:rFonts w:ascii="Tahoma" w:hAnsi="Tahoma" w:cs="Tahoma"/>
                <w:sz w:val="16"/>
                <w:szCs w:val="16"/>
                <w:lang w:val="fr-FR"/>
              </w:rPr>
              <w:t>rzs</w:t>
            </w:r>
            <w:proofErr w:type="spellEnd"/>
            <w:r w:rsidRPr="00150D48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150D48">
              <w:rPr>
                <w:rFonts w:ascii="Tahoma" w:hAnsi="Tahoma" w:cs="Tahoma"/>
                <w:sz w:val="16"/>
                <w:szCs w:val="16"/>
                <w:lang w:val="fr-FR"/>
              </w:rPr>
              <w:t>rs</w:t>
            </w:r>
            <w:proofErr w:type="spellEnd"/>
            <w:r w:rsidRPr="00150D48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150D48">
              <w:rPr>
                <w:rFonts w:ascii="Tahoma" w:hAnsi="Tahoma" w:cs="Tahoma"/>
                <w:sz w:val="16"/>
                <w:szCs w:val="16"/>
                <w:lang w:val="fr-FR"/>
              </w:rPr>
              <w:t>ba</w:t>
            </w:r>
            <w:proofErr w:type="spellEnd"/>
          </w:p>
          <w:p w:rsidR="008C3261" w:rsidRPr="00150D48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150D48">
              <w:rPr>
                <w:rFonts w:ascii="Tahoma" w:hAnsi="Tahoma" w:cs="Tahoma"/>
                <w:sz w:val="16"/>
                <w:lang w:val="ru-RU"/>
              </w:rPr>
              <w:t>тел. +387 51 </w:t>
            </w:r>
            <w:r w:rsidRPr="00150D48">
              <w:rPr>
                <w:rFonts w:ascii="Tahoma" w:hAnsi="Tahoma" w:cs="Tahoma"/>
                <w:sz w:val="16"/>
                <w:szCs w:val="16"/>
                <w:lang w:val="ru-RU"/>
              </w:rPr>
              <w:t>332 700</w:t>
            </w:r>
            <w:r w:rsidRPr="00150D48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 w:rsidRPr="00150D48">
              <w:rPr>
                <w:rFonts w:ascii="Tahoma" w:hAnsi="Tahoma" w:cs="Tahoma"/>
                <w:sz w:val="16"/>
                <w:szCs w:val="16"/>
                <w:lang w:val="pt-BR"/>
              </w:rPr>
              <w:t>E</w:t>
            </w:r>
            <w:r w:rsidRPr="00150D48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Pr="00150D48">
              <w:rPr>
                <w:rFonts w:ascii="Tahoma" w:hAnsi="Tahoma" w:cs="Tahoma"/>
                <w:sz w:val="16"/>
                <w:szCs w:val="16"/>
                <w:lang w:val="pt-BR"/>
              </w:rPr>
              <w:t>mail</w:t>
            </w:r>
            <w:r w:rsidRPr="00150D48">
              <w:rPr>
                <w:rFonts w:ascii="Tahoma" w:hAnsi="Tahoma" w:cs="Tahoma"/>
                <w:sz w:val="16"/>
                <w:szCs w:val="16"/>
                <w:lang w:val="ru-RU"/>
              </w:rPr>
              <w:t xml:space="preserve">: </w:t>
            </w:r>
            <w:hyperlink r:id="rId20" w:history="1">
              <w:r w:rsidRPr="00150D4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stat</w:t>
              </w:r>
              <w:r w:rsidRPr="00150D4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@</w:t>
              </w:r>
              <w:r w:rsidRPr="00150D4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rzs</w:t>
              </w:r>
              <w:r w:rsidRPr="00150D4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150D4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rs</w:t>
              </w:r>
              <w:r w:rsidRPr="00150D4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150D4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ba</w:t>
              </w:r>
            </w:hyperlink>
          </w:p>
          <w:p w:rsidR="008C3261" w:rsidRPr="00150D48" w:rsidRDefault="008C3261" w:rsidP="00542A21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8C3261" w:rsidRPr="00150D48" w:rsidRDefault="008C3261" w:rsidP="00542A21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 w:rsidRPr="00150D48">
              <w:rPr>
                <w:rFonts w:ascii="Tahoma" w:hAnsi="Tahoma" w:cs="Tahoma"/>
                <w:b/>
                <w:bCs/>
                <w:sz w:val="16"/>
                <w:lang w:val="ru-RU"/>
              </w:rPr>
              <w:t>Приликом кориш</w:t>
            </w:r>
            <w:r w:rsidRPr="00150D48">
              <w:rPr>
                <w:rFonts w:ascii="Tahoma" w:hAnsi="Tahoma" w:cs="Tahoma"/>
                <w:b/>
                <w:bCs/>
                <w:sz w:val="16"/>
                <w:lang w:val="sr-Cyrl-CS"/>
              </w:rPr>
              <w:t>ћ</w:t>
            </w:r>
            <w:r w:rsidRPr="00150D48">
              <w:rPr>
                <w:rFonts w:ascii="Tahoma" w:hAnsi="Tahoma" w:cs="Tahoma"/>
                <w:b/>
                <w:bCs/>
                <w:sz w:val="16"/>
                <w:lang w:val="ru-RU"/>
              </w:rPr>
              <w:t>ења података обавезно навести извор</w:t>
            </w:r>
          </w:p>
        </w:tc>
      </w:tr>
    </w:tbl>
    <w:p w:rsidR="008C3261" w:rsidRPr="00150D48" w:rsidRDefault="00EB4B44" w:rsidP="008C3261">
      <w:pPr>
        <w:rPr>
          <w:lang w:val="sr-Cyrl-BA"/>
        </w:rPr>
      </w:pPr>
      <w:r w:rsidRPr="00EB4B44">
        <w:rPr>
          <w:noProof/>
          <w:lang w:val="bs-Latn-BA" w:eastAsia="bs-Latn-BA"/>
        </w:rPr>
        <w:pict>
          <v:line id="_x0000_s1057" style="position:absolute;z-index:251655168;mso-position-horizontal-relative:text;mso-position-vertical-relative:text" from="-2.5pt,108.2pt" to="510.5pt,108.2pt" strokecolor="#376ea5" strokeweight="1.5pt"/>
        </w:pict>
      </w:r>
    </w:p>
    <w:p w:rsidR="00657939" w:rsidRPr="00150D48" w:rsidRDefault="00657939" w:rsidP="008C3261">
      <w:pPr>
        <w:rPr>
          <w:lang w:val="sr-Cyrl-BA"/>
        </w:rPr>
      </w:pPr>
    </w:p>
    <w:sectPr w:rsidR="00657939" w:rsidRPr="00150D48" w:rsidSect="005D5311">
      <w:headerReference w:type="default" r:id="rId21"/>
      <w:pgSz w:w="11909" w:h="16834" w:code="9"/>
      <w:pgMar w:top="567" w:right="851" w:bottom="709" w:left="851" w:header="567" w:footer="851" w:gutter="0"/>
      <w:pgNumType w:start="2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C68" w:rsidRDefault="005F1C68">
      <w:r>
        <w:separator/>
      </w:r>
    </w:p>
  </w:endnote>
  <w:endnote w:type="continuationSeparator" w:id="0">
    <w:p w:rsidR="005F1C68" w:rsidRDefault="005F1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C68" w:rsidRDefault="005F1C68">
      <w:r>
        <w:separator/>
      </w:r>
    </w:p>
  </w:footnote>
  <w:footnote w:type="continuationSeparator" w:id="0">
    <w:p w:rsidR="005F1C68" w:rsidRDefault="005F1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5F1C68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5F1C68" w:rsidRDefault="005F1C68" w:rsidP="006E56E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</w:pPr>
          <w:r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Републички завод за статистику</w:t>
          </w:r>
        </w:p>
        <w:p w:rsidR="005F1C68" w:rsidRPr="00460A5B" w:rsidRDefault="005F1C68" w:rsidP="00E34FA2">
          <w:pPr>
            <w:pStyle w:val="Header"/>
            <w:rPr>
              <w:color w:val="FFFFFF"/>
              <w:lang w:val="ru-RU"/>
            </w:rPr>
          </w:pPr>
          <w:r w:rsidRPr="002B0900">
            <w:rPr>
              <w:rFonts w:ascii="Tahoma" w:hAnsi="Tahoma" w:cs="Tahoma"/>
              <w:b/>
              <w:color w:val="FFFFFF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5F1C68" w:rsidRPr="005D5311" w:rsidRDefault="005F1C68" w:rsidP="006C1FC6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  <w:lang w:val="sr-Cyrl-CS"/>
            </w:rPr>
            <w:t>2</w:t>
          </w:r>
          <w:r>
            <w:rPr>
              <w:rFonts w:ascii="Tahoma" w:hAnsi="Tahoma" w:cs="Tahoma"/>
              <w:color w:val="0070C0"/>
              <w:sz w:val="16"/>
            </w:rPr>
            <w:t>8</w:t>
          </w:r>
          <w:r>
            <w:rPr>
              <w:rFonts w:ascii="Tahoma" w:hAnsi="Tahoma" w:cs="Tahoma"/>
              <w:color w:val="0070C0"/>
              <w:sz w:val="16"/>
              <w:lang w:val="bs-Cyrl-BA"/>
            </w:rPr>
            <w:t>. децембар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 xml:space="preserve"> 201</w:t>
          </w:r>
          <w:r>
            <w:rPr>
              <w:rFonts w:ascii="Tahoma" w:hAnsi="Tahoma" w:cs="Tahoma"/>
              <w:color w:val="0070C0"/>
              <w:sz w:val="16"/>
            </w:rPr>
            <w:t>1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.]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11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5F1C68" w:rsidRDefault="00EB4B44" w:rsidP="006D0CE1">
    <w:pPr>
      <w:pStyle w:val="Header"/>
      <w:ind w:right="360"/>
      <w:rPr>
        <w:rFonts w:ascii="Tahoma" w:hAnsi="Tahoma" w:cs="Tahoma"/>
        <w:sz w:val="16"/>
        <w:lang w:val="sr-Latn-CS"/>
      </w:rPr>
    </w:pPr>
    <w:r w:rsidRPr="00EB4B44">
      <w:rPr>
        <w:rFonts w:ascii="Tahoma" w:hAnsi="Tahoma" w:cs="Tahoma"/>
        <w:b/>
        <w:noProof/>
        <w:color w:val="FFFFFF"/>
        <w:sz w:val="16"/>
        <w:szCs w:val="16"/>
      </w:rPr>
      <w:pict>
        <v:line id="_x0000_s8195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6">
      <o:colormru v:ext="edit" colors="#963,#969696,#777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96F"/>
    <w:rsid w:val="00002145"/>
    <w:rsid w:val="00002914"/>
    <w:rsid w:val="00002BA6"/>
    <w:rsid w:val="00003366"/>
    <w:rsid w:val="0000385A"/>
    <w:rsid w:val="00003DB0"/>
    <w:rsid w:val="0000448E"/>
    <w:rsid w:val="00004492"/>
    <w:rsid w:val="0000602C"/>
    <w:rsid w:val="00006133"/>
    <w:rsid w:val="0000686C"/>
    <w:rsid w:val="000068FA"/>
    <w:rsid w:val="00006A69"/>
    <w:rsid w:val="00006F97"/>
    <w:rsid w:val="00007602"/>
    <w:rsid w:val="0000773B"/>
    <w:rsid w:val="00007BAD"/>
    <w:rsid w:val="00007DDC"/>
    <w:rsid w:val="00010078"/>
    <w:rsid w:val="0001097F"/>
    <w:rsid w:val="000110A0"/>
    <w:rsid w:val="00016342"/>
    <w:rsid w:val="00016ABE"/>
    <w:rsid w:val="00016B4C"/>
    <w:rsid w:val="00017392"/>
    <w:rsid w:val="00017432"/>
    <w:rsid w:val="00017E51"/>
    <w:rsid w:val="00017F0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EC6"/>
    <w:rsid w:val="00027282"/>
    <w:rsid w:val="00027772"/>
    <w:rsid w:val="00030356"/>
    <w:rsid w:val="00030616"/>
    <w:rsid w:val="000310AC"/>
    <w:rsid w:val="000314AF"/>
    <w:rsid w:val="0003173C"/>
    <w:rsid w:val="00032253"/>
    <w:rsid w:val="00032858"/>
    <w:rsid w:val="000328B8"/>
    <w:rsid w:val="00032F8D"/>
    <w:rsid w:val="000337C4"/>
    <w:rsid w:val="000339BC"/>
    <w:rsid w:val="0003415D"/>
    <w:rsid w:val="000352E4"/>
    <w:rsid w:val="0003576D"/>
    <w:rsid w:val="00036B69"/>
    <w:rsid w:val="000377E5"/>
    <w:rsid w:val="00040A66"/>
    <w:rsid w:val="000416CE"/>
    <w:rsid w:val="00042CEF"/>
    <w:rsid w:val="00042D44"/>
    <w:rsid w:val="00042F45"/>
    <w:rsid w:val="00042FCA"/>
    <w:rsid w:val="000435D0"/>
    <w:rsid w:val="000438A7"/>
    <w:rsid w:val="00043B2F"/>
    <w:rsid w:val="00044205"/>
    <w:rsid w:val="00044D24"/>
    <w:rsid w:val="00045665"/>
    <w:rsid w:val="00045BC2"/>
    <w:rsid w:val="0004709E"/>
    <w:rsid w:val="0004724E"/>
    <w:rsid w:val="00047312"/>
    <w:rsid w:val="00050308"/>
    <w:rsid w:val="00050457"/>
    <w:rsid w:val="00051051"/>
    <w:rsid w:val="00051B7E"/>
    <w:rsid w:val="00051C70"/>
    <w:rsid w:val="00052187"/>
    <w:rsid w:val="00052327"/>
    <w:rsid w:val="00052AA1"/>
    <w:rsid w:val="00053355"/>
    <w:rsid w:val="00053FAA"/>
    <w:rsid w:val="000542A7"/>
    <w:rsid w:val="0005459B"/>
    <w:rsid w:val="0005460E"/>
    <w:rsid w:val="00054CE7"/>
    <w:rsid w:val="000556C9"/>
    <w:rsid w:val="00055E53"/>
    <w:rsid w:val="00056965"/>
    <w:rsid w:val="00056D41"/>
    <w:rsid w:val="00057892"/>
    <w:rsid w:val="00057981"/>
    <w:rsid w:val="00057C57"/>
    <w:rsid w:val="00057D94"/>
    <w:rsid w:val="00060C1B"/>
    <w:rsid w:val="00060E42"/>
    <w:rsid w:val="00061647"/>
    <w:rsid w:val="000618BA"/>
    <w:rsid w:val="00061DA8"/>
    <w:rsid w:val="00061E95"/>
    <w:rsid w:val="0006275F"/>
    <w:rsid w:val="0006287B"/>
    <w:rsid w:val="0006323A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70140"/>
    <w:rsid w:val="00070149"/>
    <w:rsid w:val="00072832"/>
    <w:rsid w:val="000728BB"/>
    <w:rsid w:val="0007308C"/>
    <w:rsid w:val="0007340D"/>
    <w:rsid w:val="00073AB3"/>
    <w:rsid w:val="00073DC1"/>
    <w:rsid w:val="00075147"/>
    <w:rsid w:val="00075904"/>
    <w:rsid w:val="0007594B"/>
    <w:rsid w:val="00075C26"/>
    <w:rsid w:val="00076100"/>
    <w:rsid w:val="000766A2"/>
    <w:rsid w:val="000769BE"/>
    <w:rsid w:val="00076A0D"/>
    <w:rsid w:val="0007720D"/>
    <w:rsid w:val="000772BC"/>
    <w:rsid w:val="00077637"/>
    <w:rsid w:val="00077F55"/>
    <w:rsid w:val="000801CA"/>
    <w:rsid w:val="000803C9"/>
    <w:rsid w:val="00080A5E"/>
    <w:rsid w:val="00080C17"/>
    <w:rsid w:val="00080DA6"/>
    <w:rsid w:val="000811BC"/>
    <w:rsid w:val="000818F2"/>
    <w:rsid w:val="00082C41"/>
    <w:rsid w:val="00082D67"/>
    <w:rsid w:val="00082FC9"/>
    <w:rsid w:val="00083276"/>
    <w:rsid w:val="00083569"/>
    <w:rsid w:val="00083B51"/>
    <w:rsid w:val="000843D4"/>
    <w:rsid w:val="00084D1F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4168"/>
    <w:rsid w:val="0009476B"/>
    <w:rsid w:val="0009483B"/>
    <w:rsid w:val="00095132"/>
    <w:rsid w:val="0009552F"/>
    <w:rsid w:val="00095985"/>
    <w:rsid w:val="000959BA"/>
    <w:rsid w:val="00095AC9"/>
    <w:rsid w:val="00095F66"/>
    <w:rsid w:val="000960E4"/>
    <w:rsid w:val="000966FD"/>
    <w:rsid w:val="00096D69"/>
    <w:rsid w:val="000971CB"/>
    <w:rsid w:val="0009752B"/>
    <w:rsid w:val="00097E2F"/>
    <w:rsid w:val="00097EA2"/>
    <w:rsid w:val="000A1737"/>
    <w:rsid w:val="000A174B"/>
    <w:rsid w:val="000A21C9"/>
    <w:rsid w:val="000A297F"/>
    <w:rsid w:val="000A2B72"/>
    <w:rsid w:val="000A2D23"/>
    <w:rsid w:val="000A305D"/>
    <w:rsid w:val="000A414B"/>
    <w:rsid w:val="000A476D"/>
    <w:rsid w:val="000A5A08"/>
    <w:rsid w:val="000A61D7"/>
    <w:rsid w:val="000A6260"/>
    <w:rsid w:val="000A6CB1"/>
    <w:rsid w:val="000A7CAD"/>
    <w:rsid w:val="000B012E"/>
    <w:rsid w:val="000B089F"/>
    <w:rsid w:val="000B17FC"/>
    <w:rsid w:val="000B1B84"/>
    <w:rsid w:val="000B21DF"/>
    <w:rsid w:val="000B2264"/>
    <w:rsid w:val="000B24C4"/>
    <w:rsid w:val="000B289B"/>
    <w:rsid w:val="000B2A26"/>
    <w:rsid w:val="000B307B"/>
    <w:rsid w:val="000B3187"/>
    <w:rsid w:val="000B31F2"/>
    <w:rsid w:val="000B3234"/>
    <w:rsid w:val="000B3778"/>
    <w:rsid w:val="000B3FE7"/>
    <w:rsid w:val="000B4D34"/>
    <w:rsid w:val="000B61B1"/>
    <w:rsid w:val="000B62D8"/>
    <w:rsid w:val="000B65B3"/>
    <w:rsid w:val="000B6684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18E"/>
    <w:rsid w:val="000C3E52"/>
    <w:rsid w:val="000C478D"/>
    <w:rsid w:val="000C6A1A"/>
    <w:rsid w:val="000C7878"/>
    <w:rsid w:val="000C7AFA"/>
    <w:rsid w:val="000C7B20"/>
    <w:rsid w:val="000C7C89"/>
    <w:rsid w:val="000C7E48"/>
    <w:rsid w:val="000D03D6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6225"/>
    <w:rsid w:val="000D6478"/>
    <w:rsid w:val="000D64AC"/>
    <w:rsid w:val="000D69DB"/>
    <w:rsid w:val="000D6E79"/>
    <w:rsid w:val="000D6F44"/>
    <w:rsid w:val="000D7738"/>
    <w:rsid w:val="000D7FBE"/>
    <w:rsid w:val="000E0CC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C26"/>
    <w:rsid w:val="000E3084"/>
    <w:rsid w:val="000E3579"/>
    <w:rsid w:val="000E3EBB"/>
    <w:rsid w:val="000E53BA"/>
    <w:rsid w:val="000E54E7"/>
    <w:rsid w:val="000E6068"/>
    <w:rsid w:val="000E660D"/>
    <w:rsid w:val="000E7180"/>
    <w:rsid w:val="000E720C"/>
    <w:rsid w:val="000E7C83"/>
    <w:rsid w:val="000E7FE3"/>
    <w:rsid w:val="000F0E12"/>
    <w:rsid w:val="000F0E43"/>
    <w:rsid w:val="000F1185"/>
    <w:rsid w:val="000F1EDA"/>
    <w:rsid w:val="000F2712"/>
    <w:rsid w:val="000F27B9"/>
    <w:rsid w:val="000F2FBE"/>
    <w:rsid w:val="000F4DE8"/>
    <w:rsid w:val="000F5794"/>
    <w:rsid w:val="000F5F23"/>
    <w:rsid w:val="000F5F69"/>
    <w:rsid w:val="000F6DEC"/>
    <w:rsid w:val="000F6E1C"/>
    <w:rsid w:val="000F6F19"/>
    <w:rsid w:val="000F7338"/>
    <w:rsid w:val="000F78E1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B20"/>
    <w:rsid w:val="001046CD"/>
    <w:rsid w:val="00104805"/>
    <w:rsid w:val="00104CCC"/>
    <w:rsid w:val="001053AA"/>
    <w:rsid w:val="0010606C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BA9"/>
    <w:rsid w:val="001121DC"/>
    <w:rsid w:val="0011255B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313C"/>
    <w:rsid w:val="0012327F"/>
    <w:rsid w:val="0012365C"/>
    <w:rsid w:val="00123781"/>
    <w:rsid w:val="0012395D"/>
    <w:rsid w:val="001240AE"/>
    <w:rsid w:val="001245D5"/>
    <w:rsid w:val="00125074"/>
    <w:rsid w:val="00125B22"/>
    <w:rsid w:val="00125E3D"/>
    <w:rsid w:val="00126A82"/>
    <w:rsid w:val="00126D11"/>
    <w:rsid w:val="00126D59"/>
    <w:rsid w:val="00127C99"/>
    <w:rsid w:val="001301F8"/>
    <w:rsid w:val="001307C6"/>
    <w:rsid w:val="00130887"/>
    <w:rsid w:val="00130ACE"/>
    <w:rsid w:val="00130B06"/>
    <w:rsid w:val="00131100"/>
    <w:rsid w:val="00131867"/>
    <w:rsid w:val="001319D1"/>
    <w:rsid w:val="00131A13"/>
    <w:rsid w:val="00131DB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59AE"/>
    <w:rsid w:val="001361D7"/>
    <w:rsid w:val="001364A2"/>
    <w:rsid w:val="001364A4"/>
    <w:rsid w:val="001369A5"/>
    <w:rsid w:val="00136EF9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54C5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5AC7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3A9B"/>
    <w:rsid w:val="00164E59"/>
    <w:rsid w:val="001655F9"/>
    <w:rsid w:val="001658E6"/>
    <w:rsid w:val="001658F6"/>
    <w:rsid w:val="00165FE9"/>
    <w:rsid w:val="001664E5"/>
    <w:rsid w:val="00167333"/>
    <w:rsid w:val="001700D8"/>
    <w:rsid w:val="001702DD"/>
    <w:rsid w:val="001704AA"/>
    <w:rsid w:val="0017077B"/>
    <w:rsid w:val="00171CD1"/>
    <w:rsid w:val="0017306E"/>
    <w:rsid w:val="0017378C"/>
    <w:rsid w:val="001738F6"/>
    <w:rsid w:val="00173B0A"/>
    <w:rsid w:val="00174435"/>
    <w:rsid w:val="00175B35"/>
    <w:rsid w:val="00175BDF"/>
    <w:rsid w:val="00175CA0"/>
    <w:rsid w:val="00176366"/>
    <w:rsid w:val="0017652E"/>
    <w:rsid w:val="0017693B"/>
    <w:rsid w:val="0017710C"/>
    <w:rsid w:val="00177354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F3E"/>
    <w:rsid w:val="00183FBA"/>
    <w:rsid w:val="001845F2"/>
    <w:rsid w:val="00184CE0"/>
    <w:rsid w:val="00185169"/>
    <w:rsid w:val="00186821"/>
    <w:rsid w:val="001868B0"/>
    <w:rsid w:val="001871A5"/>
    <w:rsid w:val="001872B7"/>
    <w:rsid w:val="00187D0E"/>
    <w:rsid w:val="001904BB"/>
    <w:rsid w:val="00190F19"/>
    <w:rsid w:val="0019139D"/>
    <w:rsid w:val="00191A36"/>
    <w:rsid w:val="00191C2B"/>
    <w:rsid w:val="00193339"/>
    <w:rsid w:val="00193AFD"/>
    <w:rsid w:val="001944E2"/>
    <w:rsid w:val="00194546"/>
    <w:rsid w:val="001951AE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26F"/>
    <w:rsid w:val="001A0CB0"/>
    <w:rsid w:val="001A164F"/>
    <w:rsid w:val="001A1708"/>
    <w:rsid w:val="001A1B78"/>
    <w:rsid w:val="001A2C11"/>
    <w:rsid w:val="001A2F5F"/>
    <w:rsid w:val="001A35D4"/>
    <w:rsid w:val="001A3906"/>
    <w:rsid w:val="001A3F95"/>
    <w:rsid w:val="001A4B3B"/>
    <w:rsid w:val="001A4DFA"/>
    <w:rsid w:val="001A514E"/>
    <w:rsid w:val="001A66C4"/>
    <w:rsid w:val="001A694C"/>
    <w:rsid w:val="001A6C7F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5808"/>
    <w:rsid w:val="001C5DBF"/>
    <w:rsid w:val="001C6474"/>
    <w:rsid w:val="001C67D7"/>
    <w:rsid w:val="001C6A6F"/>
    <w:rsid w:val="001C6F45"/>
    <w:rsid w:val="001C703B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664D"/>
    <w:rsid w:val="001E6CEF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A00"/>
    <w:rsid w:val="001F3A53"/>
    <w:rsid w:val="001F3A58"/>
    <w:rsid w:val="001F5630"/>
    <w:rsid w:val="001F64A6"/>
    <w:rsid w:val="001F6806"/>
    <w:rsid w:val="001F72B8"/>
    <w:rsid w:val="0020048F"/>
    <w:rsid w:val="00200DC0"/>
    <w:rsid w:val="002010BD"/>
    <w:rsid w:val="002015FA"/>
    <w:rsid w:val="00201944"/>
    <w:rsid w:val="002023E4"/>
    <w:rsid w:val="0020352C"/>
    <w:rsid w:val="00203A26"/>
    <w:rsid w:val="00203AB1"/>
    <w:rsid w:val="00203D39"/>
    <w:rsid w:val="00204DA6"/>
    <w:rsid w:val="00205062"/>
    <w:rsid w:val="00205492"/>
    <w:rsid w:val="00206767"/>
    <w:rsid w:val="0020707B"/>
    <w:rsid w:val="002072A1"/>
    <w:rsid w:val="002079B7"/>
    <w:rsid w:val="0021128A"/>
    <w:rsid w:val="002115D7"/>
    <w:rsid w:val="00211CC7"/>
    <w:rsid w:val="00211E80"/>
    <w:rsid w:val="00212742"/>
    <w:rsid w:val="00212852"/>
    <w:rsid w:val="00213429"/>
    <w:rsid w:val="002138CB"/>
    <w:rsid w:val="00213B31"/>
    <w:rsid w:val="0021419D"/>
    <w:rsid w:val="00214990"/>
    <w:rsid w:val="00216B1A"/>
    <w:rsid w:val="00216DAA"/>
    <w:rsid w:val="00216E68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5035"/>
    <w:rsid w:val="00225FB3"/>
    <w:rsid w:val="0022693C"/>
    <w:rsid w:val="00226A96"/>
    <w:rsid w:val="00227A59"/>
    <w:rsid w:val="002308A9"/>
    <w:rsid w:val="00230D4C"/>
    <w:rsid w:val="002314BE"/>
    <w:rsid w:val="0023291B"/>
    <w:rsid w:val="00233350"/>
    <w:rsid w:val="00233634"/>
    <w:rsid w:val="00234E18"/>
    <w:rsid w:val="00234F78"/>
    <w:rsid w:val="00235CB0"/>
    <w:rsid w:val="00235D8A"/>
    <w:rsid w:val="002367CD"/>
    <w:rsid w:val="00236968"/>
    <w:rsid w:val="002377A4"/>
    <w:rsid w:val="002377EF"/>
    <w:rsid w:val="00237806"/>
    <w:rsid w:val="00237A9C"/>
    <w:rsid w:val="00237C0B"/>
    <w:rsid w:val="002407A5"/>
    <w:rsid w:val="0024115F"/>
    <w:rsid w:val="00241AB2"/>
    <w:rsid w:val="00242008"/>
    <w:rsid w:val="00242AF6"/>
    <w:rsid w:val="00242ECC"/>
    <w:rsid w:val="002432EC"/>
    <w:rsid w:val="002433B0"/>
    <w:rsid w:val="002438E0"/>
    <w:rsid w:val="00244668"/>
    <w:rsid w:val="00244DC1"/>
    <w:rsid w:val="00245AA0"/>
    <w:rsid w:val="00245CD6"/>
    <w:rsid w:val="00246014"/>
    <w:rsid w:val="002462B7"/>
    <w:rsid w:val="0024644E"/>
    <w:rsid w:val="00246542"/>
    <w:rsid w:val="00246F48"/>
    <w:rsid w:val="00247F87"/>
    <w:rsid w:val="002505B7"/>
    <w:rsid w:val="00250883"/>
    <w:rsid w:val="00250D4D"/>
    <w:rsid w:val="002518FB"/>
    <w:rsid w:val="00251CC6"/>
    <w:rsid w:val="00252354"/>
    <w:rsid w:val="00252AB0"/>
    <w:rsid w:val="00252EE0"/>
    <w:rsid w:val="00253013"/>
    <w:rsid w:val="002532E1"/>
    <w:rsid w:val="00253674"/>
    <w:rsid w:val="002537D9"/>
    <w:rsid w:val="0025382B"/>
    <w:rsid w:val="00253EBE"/>
    <w:rsid w:val="0025403F"/>
    <w:rsid w:val="00255416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CD9"/>
    <w:rsid w:val="00260EE5"/>
    <w:rsid w:val="0026155E"/>
    <w:rsid w:val="0026162B"/>
    <w:rsid w:val="00261646"/>
    <w:rsid w:val="00261905"/>
    <w:rsid w:val="002636AD"/>
    <w:rsid w:val="00263A1B"/>
    <w:rsid w:val="00264012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151F"/>
    <w:rsid w:val="00271A5A"/>
    <w:rsid w:val="0027269C"/>
    <w:rsid w:val="00272A1A"/>
    <w:rsid w:val="00272E9A"/>
    <w:rsid w:val="00272FE5"/>
    <w:rsid w:val="00274ED4"/>
    <w:rsid w:val="0027513C"/>
    <w:rsid w:val="00276A47"/>
    <w:rsid w:val="00276B92"/>
    <w:rsid w:val="00277A36"/>
    <w:rsid w:val="002800DC"/>
    <w:rsid w:val="002806F5"/>
    <w:rsid w:val="0028085B"/>
    <w:rsid w:val="00280A37"/>
    <w:rsid w:val="00280E6A"/>
    <w:rsid w:val="002818F0"/>
    <w:rsid w:val="00281B94"/>
    <w:rsid w:val="00282901"/>
    <w:rsid w:val="00282D51"/>
    <w:rsid w:val="00282F33"/>
    <w:rsid w:val="00283136"/>
    <w:rsid w:val="0028333A"/>
    <w:rsid w:val="002833DF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B13"/>
    <w:rsid w:val="002A4550"/>
    <w:rsid w:val="002A48B6"/>
    <w:rsid w:val="002A4A01"/>
    <w:rsid w:val="002A4A12"/>
    <w:rsid w:val="002A513E"/>
    <w:rsid w:val="002A5D3A"/>
    <w:rsid w:val="002A5EF6"/>
    <w:rsid w:val="002A6D97"/>
    <w:rsid w:val="002B087B"/>
    <w:rsid w:val="002B0900"/>
    <w:rsid w:val="002B0C47"/>
    <w:rsid w:val="002B12EA"/>
    <w:rsid w:val="002B16A4"/>
    <w:rsid w:val="002B1FEF"/>
    <w:rsid w:val="002B2333"/>
    <w:rsid w:val="002B2749"/>
    <w:rsid w:val="002B39A1"/>
    <w:rsid w:val="002B3C27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CC0"/>
    <w:rsid w:val="002B6F16"/>
    <w:rsid w:val="002B77CD"/>
    <w:rsid w:val="002B7ECE"/>
    <w:rsid w:val="002C01F4"/>
    <w:rsid w:val="002C192E"/>
    <w:rsid w:val="002C1AD3"/>
    <w:rsid w:val="002C1EA1"/>
    <w:rsid w:val="002C21AB"/>
    <w:rsid w:val="002C27B5"/>
    <w:rsid w:val="002C284A"/>
    <w:rsid w:val="002C2F32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D41"/>
    <w:rsid w:val="002C5FF5"/>
    <w:rsid w:val="002C6753"/>
    <w:rsid w:val="002C6F3E"/>
    <w:rsid w:val="002C6FF2"/>
    <w:rsid w:val="002C7486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A5B"/>
    <w:rsid w:val="002D300C"/>
    <w:rsid w:val="002D35C4"/>
    <w:rsid w:val="002D3B87"/>
    <w:rsid w:val="002D3C28"/>
    <w:rsid w:val="002D3D1C"/>
    <w:rsid w:val="002D4997"/>
    <w:rsid w:val="002D5BBD"/>
    <w:rsid w:val="002D5F6F"/>
    <w:rsid w:val="002D6198"/>
    <w:rsid w:val="002D6710"/>
    <w:rsid w:val="002D697C"/>
    <w:rsid w:val="002D6BA8"/>
    <w:rsid w:val="002D6DC7"/>
    <w:rsid w:val="002D7347"/>
    <w:rsid w:val="002D7F12"/>
    <w:rsid w:val="002D7F22"/>
    <w:rsid w:val="002E0153"/>
    <w:rsid w:val="002E04AD"/>
    <w:rsid w:val="002E0A57"/>
    <w:rsid w:val="002E0EDF"/>
    <w:rsid w:val="002E1901"/>
    <w:rsid w:val="002E1AB6"/>
    <w:rsid w:val="002E24F0"/>
    <w:rsid w:val="002E2616"/>
    <w:rsid w:val="002E2AED"/>
    <w:rsid w:val="002E2F11"/>
    <w:rsid w:val="002E2F2D"/>
    <w:rsid w:val="002E38F9"/>
    <w:rsid w:val="002E3C33"/>
    <w:rsid w:val="002E43B3"/>
    <w:rsid w:val="002E45EC"/>
    <w:rsid w:val="002E58CD"/>
    <w:rsid w:val="002E5B75"/>
    <w:rsid w:val="002E61A6"/>
    <w:rsid w:val="002E651F"/>
    <w:rsid w:val="002E66C9"/>
    <w:rsid w:val="002E6C7D"/>
    <w:rsid w:val="002E72E4"/>
    <w:rsid w:val="002E79F1"/>
    <w:rsid w:val="002E7B7C"/>
    <w:rsid w:val="002F0943"/>
    <w:rsid w:val="002F0A21"/>
    <w:rsid w:val="002F0B0E"/>
    <w:rsid w:val="002F0C5F"/>
    <w:rsid w:val="002F0E52"/>
    <w:rsid w:val="002F109E"/>
    <w:rsid w:val="002F15D0"/>
    <w:rsid w:val="002F20B7"/>
    <w:rsid w:val="002F2305"/>
    <w:rsid w:val="002F25BE"/>
    <w:rsid w:val="002F25E1"/>
    <w:rsid w:val="002F289C"/>
    <w:rsid w:val="002F36A8"/>
    <w:rsid w:val="002F390E"/>
    <w:rsid w:val="002F4336"/>
    <w:rsid w:val="002F5375"/>
    <w:rsid w:val="002F5933"/>
    <w:rsid w:val="002F5AA1"/>
    <w:rsid w:val="002F5E38"/>
    <w:rsid w:val="002F6671"/>
    <w:rsid w:val="002F67AB"/>
    <w:rsid w:val="002F6D01"/>
    <w:rsid w:val="002F719F"/>
    <w:rsid w:val="002F75F0"/>
    <w:rsid w:val="002F76D1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30A"/>
    <w:rsid w:val="003013C3"/>
    <w:rsid w:val="00301B47"/>
    <w:rsid w:val="00301D4B"/>
    <w:rsid w:val="00301E04"/>
    <w:rsid w:val="00301EA9"/>
    <w:rsid w:val="00301EB9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71"/>
    <w:rsid w:val="00306CF2"/>
    <w:rsid w:val="00307BA6"/>
    <w:rsid w:val="00310247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836"/>
    <w:rsid w:val="00313843"/>
    <w:rsid w:val="00313D98"/>
    <w:rsid w:val="0031435D"/>
    <w:rsid w:val="00314EDA"/>
    <w:rsid w:val="00316671"/>
    <w:rsid w:val="003169EF"/>
    <w:rsid w:val="00317BE9"/>
    <w:rsid w:val="00317F21"/>
    <w:rsid w:val="003206D2"/>
    <w:rsid w:val="00320758"/>
    <w:rsid w:val="00320DFF"/>
    <w:rsid w:val="003214C3"/>
    <w:rsid w:val="0032196C"/>
    <w:rsid w:val="00321BF0"/>
    <w:rsid w:val="003229F0"/>
    <w:rsid w:val="00322A2E"/>
    <w:rsid w:val="0032304A"/>
    <w:rsid w:val="00323B58"/>
    <w:rsid w:val="00323FA9"/>
    <w:rsid w:val="00324441"/>
    <w:rsid w:val="00324DC4"/>
    <w:rsid w:val="003251B6"/>
    <w:rsid w:val="00325262"/>
    <w:rsid w:val="00326011"/>
    <w:rsid w:val="00326D60"/>
    <w:rsid w:val="00327191"/>
    <w:rsid w:val="00327635"/>
    <w:rsid w:val="00327997"/>
    <w:rsid w:val="00327AE7"/>
    <w:rsid w:val="00330746"/>
    <w:rsid w:val="00330AC9"/>
    <w:rsid w:val="00330C24"/>
    <w:rsid w:val="00330DBE"/>
    <w:rsid w:val="003317CD"/>
    <w:rsid w:val="00331990"/>
    <w:rsid w:val="00333467"/>
    <w:rsid w:val="00333C8C"/>
    <w:rsid w:val="003342A7"/>
    <w:rsid w:val="0033492B"/>
    <w:rsid w:val="00335854"/>
    <w:rsid w:val="00335D4A"/>
    <w:rsid w:val="003369A1"/>
    <w:rsid w:val="00336F29"/>
    <w:rsid w:val="00337925"/>
    <w:rsid w:val="00337AB2"/>
    <w:rsid w:val="003401A5"/>
    <w:rsid w:val="003402DF"/>
    <w:rsid w:val="0034035A"/>
    <w:rsid w:val="00340B56"/>
    <w:rsid w:val="00341D7A"/>
    <w:rsid w:val="00341F47"/>
    <w:rsid w:val="00342360"/>
    <w:rsid w:val="00342909"/>
    <w:rsid w:val="003430D9"/>
    <w:rsid w:val="00343FDF"/>
    <w:rsid w:val="0034462C"/>
    <w:rsid w:val="00345A7C"/>
    <w:rsid w:val="00345E26"/>
    <w:rsid w:val="00346D1E"/>
    <w:rsid w:val="00346E91"/>
    <w:rsid w:val="00347088"/>
    <w:rsid w:val="003475FD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E7"/>
    <w:rsid w:val="00356C57"/>
    <w:rsid w:val="00357294"/>
    <w:rsid w:val="00357478"/>
    <w:rsid w:val="00357B94"/>
    <w:rsid w:val="003604D8"/>
    <w:rsid w:val="00360634"/>
    <w:rsid w:val="00360660"/>
    <w:rsid w:val="003612AC"/>
    <w:rsid w:val="003615C9"/>
    <w:rsid w:val="0036228B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54AE"/>
    <w:rsid w:val="003654DC"/>
    <w:rsid w:val="00365713"/>
    <w:rsid w:val="00365C70"/>
    <w:rsid w:val="00365CB4"/>
    <w:rsid w:val="00365E77"/>
    <w:rsid w:val="00366068"/>
    <w:rsid w:val="003660FC"/>
    <w:rsid w:val="003669B1"/>
    <w:rsid w:val="00366E4A"/>
    <w:rsid w:val="003670D6"/>
    <w:rsid w:val="0036725D"/>
    <w:rsid w:val="00370B9E"/>
    <w:rsid w:val="00370DD0"/>
    <w:rsid w:val="00371660"/>
    <w:rsid w:val="00371B2C"/>
    <w:rsid w:val="003722ED"/>
    <w:rsid w:val="003723D8"/>
    <w:rsid w:val="0037247E"/>
    <w:rsid w:val="00373311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8029C"/>
    <w:rsid w:val="003802FC"/>
    <w:rsid w:val="0038091E"/>
    <w:rsid w:val="00380A07"/>
    <w:rsid w:val="00380C0A"/>
    <w:rsid w:val="00380EA5"/>
    <w:rsid w:val="003823D5"/>
    <w:rsid w:val="003825AD"/>
    <w:rsid w:val="003829AC"/>
    <w:rsid w:val="00383A6C"/>
    <w:rsid w:val="00383BEF"/>
    <w:rsid w:val="0038413E"/>
    <w:rsid w:val="003847DE"/>
    <w:rsid w:val="00384D0D"/>
    <w:rsid w:val="00385114"/>
    <w:rsid w:val="0038529D"/>
    <w:rsid w:val="003853D5"/>
    <w:rsid w:val="00386299"/>
    <w:rsid w:val="003865D5"/>
    <w:rsid w:val="0038670C"/>
    <w:rsid w:val="00386D56"/>
    <w:rsid w:val="003872F0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3033"/>
    <w:rsid w:val="003935C8"/>
    <w:rsid w:val="0039369E"/>
    <w:rsid w:val="003938AD"/>
    <w:rsid w:val="003940DE"/>
    <w:rsid w:val="00394D75"/>
    <w:rsid w:val="00394DDE"/>
    <w:rsid w:val="0039534B"/>
    <w:rsid w:val="00395878"/>
    <w:rsid w:val="003961DF"/>
    <w:rsid w:val="0039672B"/>
    <w:rsid w:val="00396B37"/>
    <w:rsid w:val="0039761B"/>
    <w:rsid w:val="003A03E5"/>
    <w:rsid w:val="003A0F8F"/>
    <w:rsid w:val="003A1401"/>
    <w:rsid w:val="003A17AE"/>
    <w:rsid w:val="003A1987"/>
    <w:rsid w:val="003A2971"/>
    <w:rsid w:val="003A2EF4"/>
    <w:rsid w:val="003A3040"/>
    <w:rsid w:val="003A30D1"/>
    <w:rsid w:val="003A432B"/>
    <w:rsid w:val="003A463B"/>
    <w:rsid w:val="003A4D79"/>
    <w:rsid w:val="003A560F"/>
    <w:rsid w:val="003A5C12"/>
    <w:rsid w:val="003A5F0B"/>
    <w:rsid w:val="003A5F55"/>
    <w:rsid w:val="003A5F78"/>
    <w:rsid w:val="003A6825"/>
    <w:rsid w:val="003A68CE"/>
    <w:rsid w:val="003A75E4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52BE"/>
    <w:rsid w:val="003B66DD"/>
    <w:rsid w:val="003B6801"/>
    <w:rsid w:val="003B6F53"/>
    <w:rsid w:val="003B71D7"/>
    <w:rsid w:val="003B74FC"/>
    <w:rsid w:val="003C003A"/>
    <w:rsid w:val="003C067F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4748"/>
    <w:rsid w:val="003C50E5"/>
    <w:rsid w:val="003C5E2C"/>
    <w:rsid w:val="003C62E7"/>
    <w:rsid w:val="003C6764"/>
    <w:rsid w:val="003C6E66"/>
    <w:rsid w:val="003C6F71"/>
    <w:rsid w:val="003C73E2"/>
    <w:rsid w:val="003C7809"/>
    <w:rsid w:val="003C7F17"/>
    <w:rsid w:val="003C7FCB"/>
    <w:rsid w:val="003D0153"/>
    <w:rsid w:val="003D0397"/>
    <w:rsid w:val="003D06DC"/>
    <w:rsid w:val="003D0937"/>
    <w:rsid w:val="003D1306"/>
    <w:rsid w:val="003D1FC7"/>
    <w:rsid w:val="003D221C"/>
    <w:rsid w:val="003D2D32"/>
    <w:rsid w:val="003D2E84"/>
    <w:rsid w:val="003D35F2"/>
    <w:rsid w:val="003D384E"/>
    <w:rsid w:val="003D3D27"/>
    <w:rsid w:val="003D4551"/>
    <w:rsid w:val="003D494D"/>
    <w:rsid w:val="003D4FE0"/>
    <w:rsid w:val="003D5248"/>
    <w:rsid w:val="003D6043"/>
    <w:rsid w:val="003D6262"/>
    <w:rsid w:val="003D6655"/>
    <w:rsid w:val="003D7DF4"/>
    <w:rsid w:val="003E01D2"/>
    <w:rsid w:val="003E03A1"/>
    <w:rsid w:val="003E0409"/>
    <w:rsid w:val="003E09E8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12B"/>
    <w:rsid w:val="003E49F9"/>
    <w:rsid w:val="003E4C57"/>
    <w:rsid w:val="003E4CE7"/>
    <w:rsid w:val="003E52C8"/>
    <w:rsid w:val="003E5E54"/>
    <w:rsid w:val="003E6751"/>
    <w:rsid w:val="003E793A"/>
    <w:rsid w:val="003F02D9"/>
    <w:rsid w:val="003F0CE8"/>
    <w:rsid w:val="003F0D72"/>
    <w:rsid w:val="003F0E9A"/>
    <w:rsid w:val="003F14E1"/>
    <w:rsid w:val="003F1C1E"/>
    <w:rsid w:val="003F2626"/>
    <w:rsid w:val="003F3434"/>
    <w:rsid w:val="003F4296"/>
    <w:rsid w:val="003F50B8"/>
    <w:rsid w:val="003F5884"/>
    <w:rsid w:val="003F59ED"/>
    <w:rsid w:val="003F5BEF"/>
    <w:rsid w:val="003F5D86"/>
    <w:rsid w:val="003F5EFD"/>
    <w:rsid w:val="003F6277"/>
    <w:rsid w:val="003F677D"/>
    <w:rsid w:val="003F6C54"/>
    <w:rsid w:val="003F6D2E"/>
    <w:rsid w:val="003F75F2"/>
    <w:rsid w:val="003F7CC0"/>
    <w:rsid w:val="003F7E04"/>
    <w:rsid w:val="004000EB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51D"/>
    <w:rsid w:val="00404CCD"/>
    <w:rsid w:val="00404CD2"/>
    <w:rsid w:val="00405C30"/>
    <w:rsid w:val="004070EE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36E"/>
    <w:rsid w:val="0041578C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E36"/>
    <w:rsid w:val="00426128"/>
    <w:rsid w:val="00426834"/>
    <w:rsid w:val="00426AC1"/>
    <w:rsid w:val="00426D82"/>
    <w:rsid w:val="004272AF"/>
    <w:rsid w:val="004278E9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EAD"/>
    <w:rsid w:val="00433EBB"/>
    <w:rsid w:val="00434495"/>
    <w:rsid w:val="004349B8"/>
    <w:rsid w:val="0043513A"/>
    <w:rsid w:val="0043521E"/>
    <w:rsid w:val="004352D1"/>
    <w:rsid w:val="00435439"/>
    <w:rsid w:val="00436051"/>
    <w:rsid w:val="00436066"/>
    <w:rsid w:val="0043662E"/>
    <w:rsid w:val="00437C07"/>
    <w:rsid w:val="004406BE"/>
    <w:rsid w:val="0044077B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451E"/>
    <w:rsid w:val="00444766"/>
    <w:rsid w:val="00445324"/>
    <w:rsid w:val="004459B2"/>
    <w:rsid w:val="00445CA0"/>
    <w:rsid w:val="004470E3"/>
    <w:rsid w:val="00447529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1A53"/>
    <w:rsid w:val="00451E0A"/>
    <w:rsid w:val="004521D8"/>
    <w:rsid w:val="00452346"/>
    <w:rsid w:val="0045252D"/>
    <w:rsid w:val="004532C0"/>
    <w:rsid w:val="0045350E"/>
    <w:rsid w:val="00453C0D"/>
    <w:rsid w:val="00454068"/>
    <w:rsid w:val="0045449A"/>
    <w:rsid w:val="00454645"/>
    <w:rsid w:val="004549B0"/>
    <w:rsid w:val="00454D24"/>
    <w:rsid w:val="004552DC"/>
    <w:rsid w:val="0045570F"/>
    <w:rsid w:val="00455B31"/>
    <w:rsid w:val="00455DB5"/>
    <w:rsid w:val="00456B3F"/>
    <w:rsid w:val="00457173"/>
    <w:rsid w:val="00457CA3"/>
    <w:rsid w:val="0046013D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858"/>
    <w:rsid w:val="00464A3B"/>
    <w:rsid w:val="0046574E"/>
    <w:rsid w:val="0046582A"/>
    <w:rsid w:val="00465BC3"/>
    <w:rsid w:val="004661EE"/>
    <w:rsid w:val="0046702A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D80"/>
    <w:rsid w:val="00471D9A"/>
    <w:rsid w:val="004726CC"/>
    <w:rsid w:val="00472AC0"/>
    <w:rsid w:val="004731DD"/>
    <w:rsid w:val="00473439"/>
    <w:rsid w:val="00473BAC"/>
    <w:rsid w:val="00473EEC"/>
    <w:rsid w:val="00475172"/>
    <w:rsid w:val="004756D2"/>
    <w:rsid w:val="004762AF"/>
    <w:rsid w:val="004762B7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3074"/>
    <w:rsid w:val="004831C2"/>
    <w:rsid w:val="004835E7"/>
    <w:rsid w:val="00483B1B"/>
    <w:rsid w:val="00483B1D"/>
    <w:rsid w:val="00484540"/>
    <w:rsid w:val="004855EE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E5"/>
    <w:rsid w:val="00492216"/>
    <w:rsid w:val="00492A01"/>
    <w:rsid w:val="00492D51"/>
    <w:rsid w:val="00492EF8"/>
    <w:rsid w:val="00493097"/>
    <w:rsid w:val="00493B19"/>
    <w:rsid w:val="004951FA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F5B"/>
    <w:rsid w:val="004A2217"/>
    <w:rsid w:val="004A3255"/>
    <w:rsid w:val="004A3930"/>
    <w:rsid w:val="004A3BC9"/>
    <w:rsid w:val="004A3C2A"/>
    <w:rsid w:val="004A3DCE"/>
    <w:rsid w:val="004A3FB6"/>
    <w:rsid w:val="004A4297"/>
    <w:rsid w:val="004A4464"/>
    <w:rsid w:val="004A44CF"/>
    <w:rsid w:val="004A4A8A"/>
    <w:rsid w:val="004A52B9"/>
    <w:rsid w:val="004A5908"/>
    <w:rsid w:val="004A5DD0"/>
    <w:rsid w:val="004A5F34"/>
    <w:rsid w:val="004A6092"/>
    <w:rsid w:val="004A62E8"/>
    <w:rsid w:val="004A632A"/>
    <w:rsid w:val="004A6BC5"/>
    <w:rsid w:val="004A6F0D"/>
    <w:rsid w:val="004A7E87"/>
    <w:rsid w:val="004A7EAC"/>
    <w:rsid w:val="004B06A2"/>
    <w:rsid w:val="004B0748"/>
    <w:rsid w:val="004B0B25"/>
    <w:rsid w:val="004B1A8F"/>
    <w:rsid w:val="004B2096"/>
    <w:rsid w:val="004B22F9"/>
    <w:rsid w:val="004B2785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642C"/>
    <w:rsid w:val="004B65B0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680"/>
    <w:rsid w:val="004C277B"/>
    <w:rsid w:val="004C27BF"/>
    <w:rsid w:val="004C2910"/>
    <w:rsid w:val="004C2B3F"/>
    <w:rsid w:val="004C2B44"/>
    <w:rsid w:val="004C2E68"/>
    <w:rsid w:val="004C2EDB"/>
    <w:rsid w:val="004C3325"/>
    <w:rsid w:val="004C40CC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7641"/>
    <w:rsid w:val="004C777D"/>
    <w:rsid w:val="004C77CC"/>
    <w:rsid w:val="004C797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5060"/>
    <w:rsid w:val="004D55E8"/>
    <w:rsid w:val="004D581F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3444"/>
    <w:rsid w:val="004E3C07"/>
    <w:rsid w:val="004E3C09"/>
    <w:rsid w:val="004E3DAF"/>
    <w:rsid w:val="004E4809"/>
    <w:rsid w:val="004E4A1F"/>
    <w:rsid w:val="004E5C88"/>
    <w:rsid w:val="004E623D"/>
    <w:rsid w:val="004E639B"/>
    <w:rsid w:val="004E6C1E"/>
    <w:rsid w:val="004E6EEC"/>
    <w:rsid w:val="004E6F8F"/>
    <w:rsid w:val="004E7331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73CC"/>
    <w:rsid w:val="0050785B"/>
    <w:rsid w:val="005079C9"/>
    <w:rsid w:val="00510774"/>
    <w:rsid w:val="00510A7F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5A72"/>
    <w:rsid w:val="00515B71"/>
    <w:rsid w:val="00516328"/>
    <w:rsid w:val="00516766"/>
    <w:rsid w:val="005172FA"/>
    <w:rsid w:val="005175CC"/>
    <w:rsid w:val="005179D8"/>
    <w:rsid w:val="00520250"/>
    <w:rsid w:val="00521B73"/>
    <w:rsid w:val="00521E1B"/>
    <w:rsid w:val="0052236A"/>
    <w:rsid w:val="005226CB"/>
    <w:rsid w:val="005234E8"/>
    <w:rsid w:val="00523AC5"/>
    <w:rsid w:val="00523C1A"/>
    <w:rsid w:val="00524090"/>
    <w:rsid w:val="005254B8"/>
    <w:rsid w:val="0052593C"/>
    <w:rsid w:val="00525991"/>
    <w:rsid w:val="00525BFB"/>
    <w:rsid w:val="0052611C"/>
    <w:rsid w:val="0052630E"/>
    <w:rsid w:val="00526611"/>
    <w:rsid w:val="00526662"/>
    <w:rsid w:val="005266D9"/>
    <w:rsid w:val="005269B0"/>
    <w:rsid w:val="005269F3"/>
    <w:rsid w:val="00526A94"/>
    <w:rsid w:val="00526F93"/>
    <w:rsid w:val="0052736D"/>
    <w:rsid w:val="00527C60"/>
    <w:rsid w:val="0053004F"/>
    <w:rsid w:val="00530431"/>
    <w:rsid w:val="00530988"/>
    <w:rsid w:val="005314A9"/>
    <w:rsid w:val="00531844"/>
    <w:rsid w:val="00531A70"/>
    <w:rsid w:val="005324A9"/>
    <w:rsid w:val="00533618"/>
    <w:rsid w:val="00533CBF"/>
    <w:rsid w:val="00534A22"/>
    <w:rsid w:val="00534E92"/>
    <w:rsid w:val="0053507F"/>
    <w:rsid w:val="00535D1B"/>
    <w:rsid w:val="00535F61"/>
    <w:rsid w:val="0053601B"/>
    <w:rsid w:val="005367D2"/>
    <w:rsid w:val="005369AB"/>
    <w:rsid w:val="00536A83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A13"/>
    <w:rsid w:val="00541D29"/>
    <w:rsid w:val="00541E8A"/>
    <w:rsid w:val="0054214F"/>
    <w:rsid w:val="00542A21"/>
    <w:rsid w:val="00542C96"/>
    <w:rsid w:val="00542CD5"/>
    <w:rsid w:val="00542D7B"/>
    <w:rsid w:val="0054311F"/>
    <w:rsid w:val="0054315B"/>
    <w:rsid w:val="00543397"/>
    <w:rsid w:val="00543645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42C"/>
    <w:rsid w:val="00552635"/>
    <w:rsid w:val="00552702"/>
    <w:rsid w:val="00552F07"/>
    <w:rsid w:val="0055398D"/>
    <w:rsid w:val="00553BE9"/>
    <w:rsid w:val="005540B3"/>
    <w:rsid w:val="005541DB"/>
    <w:rsid w:val="00554BC4"/>
    <w:rsid w:val="00554EB1"/>
    <w:rsid w:val="00554FBE"/>
    <w:rsid w:val="005554A7"/>
    <w:rsid w:val="0055618E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BDF"/>
    <w:rsid w:val="00561AA3"/>
    <w:rsid w:val="005625D1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CBF"/>
    <w:rsid w:val="005676A0"/>
    <w:rsid w:val="00567C84"/>
    <w:rsid w:val="00570120"/>
    <w:rsid w:val="0057089F"/>
    <w:rsid w:val="00570C88"/>
    <w:rsid w:val="0057142A"/>
    <w:rsid w:val="00571759"/>
    <w:rsid w:val="00571C36"/>
    <w:rsid w:val="005720D7"/>
    <w:rsid w:val="00572295"/>
    <w:rsid w:val="00572877"/>
    <w:rsid w:val="0057322B"/>
    <w:rsid w:val="00573627"/>
    <w:rsid w:val="00573801"/>
    <w:rsid w:val="005749A2"/>
    <w:rsid w:val="005769D8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8FA"/>
    <w:rsid w:val="00582928"/>
    <w:rsid w:val="0058353A"/>
    <w:rsid w:val="00583934"/>
    <w:rsid w:val="00583D8B"/>
    <w:rsid w:val="00584118"/>
    <w:rsid w:val="00584618"/>
    <w:rsid w:val="0058557D"/>
    <w:rsid w:val="005855FA"/>
    <w:rsid w:val="00585C01"/>
    <w:rsid w:val="005869D2"/>
    <w:rsid w:val="00586A11"/>
    <w:rsid w:val="00586AAF"/>
    <w:rsid w:val="00586AE3"/>
    <w:rsid w:val="005878FA"/>
    <w:rsid w:val="005903CA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C10"/>
    <w:rsid w:val="00595C85"/>
    <w:rsid w:val="00596027"/>
    <w:rsid w:val="005960AA"/>
    <w:rsid w:val="00596347"/>
    <w:rsid w:val="00596916"/>
    <w:rsid w:val="00596D11"/>
    <w:rsid w:val="005970BA"/>
    <w:rsid w:val="005977BE"/>
    <w:rsid w:val="0059781F"/>
    <w:rsid w:val="00597AB4"/>
    <w:rsid w:val="00597ABC"/>
    <w:rsid w:val="00597B39"/>
    <w:rsid w:val="005A000C"/>
    <w:rsid w:val="005A0121"/>
    <w:rsid w:val="005A01AE"/>
    <w:rsid w:val="005A14A0"/>
    <w:rsid w:val="005A1706"/>
    <w:rsid w:val="005A18B0"/>
    <w:rsid w:val="005A1EEF"/>
    <w:rsid w:val="005A25E1"/>
    <w:rsid w:val="005A2DAC"/>
    <w:rsid w:val="005A30DF"/>
    <w:rsid w:val="005A331E"/>
    <w:rsid w:val="005A3FC7"/>
    <w:rsid w:val="005A41D0"/>
    <w:rsid w:val="005A5086"/>
    <w:rsid w:val="005A55F0"/>
    <w:rsid w:val="005A5827"/>
    <w:rsid w:val="005A6113"/>
    <w:rsid w:val="005A6721"/>
    <w:rsid w:val="005A6ADF"/>
    <w:rsid w:val="005A7795"/>
    <w:rsid w:val="005A7926"/>
    <w:rsid w:val="005A7BAC"/>
    <w:rsid w:val="005A7EDD"/>
    <w:rsid w:val="005B0E07"/>
    <w:rsid w:val="005B12F7"/>
    <w:rsid w:val="005B17F5"/>
    <w:rsid w:val="005B18B5"/>
    <w:rsid w:val="005B1A41"/>
    <w:rsid w:val="005B1C29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47B"/>
    <w:rsid w:val="005B55D1"/>
    <w:rsid w:val="005B622F"/>
    <w:rsid w:val="005B69FC"/>
    <w:rsid w:val="005C0430"/>
    <w:rsid w:val="005C092E"/>
    <w:rsid w:val="005C0B77"/>
    <w:rsid w:val="005C0FD7"/>
    <w:rsid w:val="005C12D7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21D"/>
    <w:rsid w:val="005D3857"/>
    <w:rsid w:val="005D3B5D"/>
    <w:rsid w:val="005D3F90"/>
    <w:rsid w:val="005D400E"/>
    <w:rsid w:val="005D449D"/>
    <w:rsid w:val="005D5163"/>
    <w:rsid w:val="005D525A"/>
    <w:rsid w:val="005D5311"/>
    <w:rsid w:val="005D53AF"/>
    <w:rsid w:val="005D54ED"/>
    <w:rsid w:val="005D55AF"/>
    <w:rsid w:val="005D57DA"/>
    <w:rsid w:val="005D5862"/>
    <w:rsid w:val="005D60AE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60C5"/>
    <w:rsid w:val="005E703E"/>
    <w:rsid w:val="005E790C"/>
    <w:rsid w:val="005F0733"/>
    <w:rsid w:val="005F0A6A"/>
    <w:rsid w:val="005F0AE8"/>
    <w:rsid w:val="005F14A0"/>
    <w:rsid w:val="005F1C68"/>
    <w:rsid w:val="005F3049"/>
    <w:rsid w:val="005F3130"/>
    <w:rsid w:val="005F3A70"/>
    <w:rsid w:val="005F44EB"/>
    <w:rsid w:val="005F47E6"/>
    <w:rsid w:val="005F4A59"/>
    <w:rsid w:val="005F4B4A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4B0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66F"/>
    <w:rsid w:val="006036C9"/>
    <w:rsid w:val="0060437B"/>
    <w:rsid w:val="00604D9E"/>
    <w:rsid w:val="00604FF7"/>
    <w:rsid w:val="00605015"/>
    <w:rsid w:val="00605474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256C"/>
    <w:rsid w:val="006136CB"/>
    <w:rsid w:val="0061438B"/>
    <w:rsid w:val="00614497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72CC"/>
    <w:rsid w:val="0061768F"/>
    <w:rsid w:val="00617CD0"/>
    <w:rsid w:val="006201E6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D48"/>
    <w:rsid w:val="00623DA5"/>
    <w:rsid w:val="006240D5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9EA"/>
    <w:rsid w:val="00631FAD"/>
    <w:rsid w:val="00632574"/>
    <w:rsid w:val="00632AA3"/>
    <w:rsid w:val="006335C7"/>
    <w:rsid w:val="006335DD"/>
    <w:rsid w:val="006343DD"/>
    <w:rsid w:val="006347F7"/>
    <w:rsid w:val="00634A22"/>
    <w:rsid w:val="00634D14"/>
    <w:rsid w:val="00634EEF"/>
    <w:rsid w:val="00635246"/>
    <w:rsid w:val="006352A8"/>
    <w:rsid w:val="0063688F"/>
    <w:rsid w:val="006372DC"/>
    <w:rsid w:val="00637DA2"/>
    <w:rsid w:val="00640B02"/>
    <w:rsid w:val="00640D78"/>
    <w:rsid w:val="006411A4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F42"/>
    <w:rsid w:val="006468ED"/>
    <w:rsid w:val="0064732A"/>
    <w:rsid w:val="00647A25"/>
    <w:rsid w:val="006506E1"/>
    <w:rsid w:val="0065131E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8D5"/>
    <w:rsid w:val="00656ED0"/>
    <w:rsid w:val="006570BB"/>
    <w:rsid w:val="0065774D"/>
    <w:rsid w:val="00657939"/>
    <w:rsid w:val="00660A85"/>
    <w:rsid w:val="00661850"/>
    <w:rsid w:val="00662052"/>
    <w:rsid w:val="00662279"/>
    <w:rsid w:val="00662BCD"/>
    <w:rsid w:val="00662D61"/>
    <w:rsid w:val="0066355A"/>
    <w:rsid w:val="00663F86"/>
    <w:rsid w:val="00664BB8"/>
    <w:rsid w:val="00664CCF"/>
    <w:rsid w:val="0066513E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764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670"/>
    <w:rsid w:val="00681B4A"/>
    <w:rsid w:val="00683B94"/>
    <w:rsid w:val="00683CE3"/>
    <w:rsid w:val="006840D4"/>
    <w:rsid w:val="0068468C"/>
    <w:rsid w:val="00684A69"/>
    <w:rsid w:val="006856A4"/>
    <w:rsid w:val="00685F1F"/>
    <w:rsid w:val="006864B5"/>
    <w:rsid w:val="006866D6"/>
    <w:rsid w:val="00686818"/>
    <w:rsid w:val="006869EB"/>
    <w:rsid w:val="00687166"/>
    <w:rsid w:val="00687499"/>
    <w:rsid w:val="00687A3F"/>
    <w:rsid w:val="00687E68"/>
    <w:rsid w:val="00687F1C"/>
    <w:rsid w:val="00690446"/>
    <w:rsid w:val="00690920"/>
    <w:rsid w:val="00690A47"/>
    <w:rsid w:val="0069129A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E45"/>
    <w:rsid w:val="00696A0B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A27"/>
    <w:rsid w:val="006A7F32"/>
    <w:rsid w:val="006B0F1B"/>
    <w:rsid w:val="006B14C2"/>
    <w:rsid w:val="006B17A5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A92"/>
    <w:rsid w:val="006B7A9D"/>
    <w:rsid w:val="006C00F3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79C"/>
    <w:rsid w:val="006D0CE1"/>
    <w:rsid w:val="006D0D39"/>
    <w:rsid w:val="006D0F07"/>
    <w:rsid w:val="006D14D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6E0"/>
    <w:rsid w:val="006E0CA3"/>
    <w:rsid w:val="006E0EA9"/>
    <w:rsid w:val="006E0F39"/>
    <w:rsid w:val="006E14CC"/>
    <w:rsid w:val="006E1DD2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C8"/>
    <w:rsid w:val="006E6696"/>
    <w:rsid w:val="006E6A73"/>
    <w:rsid w:val="006E6FA3"/>
    <w:rsid w:val="006E7844"/>
    <w:rsid w:val="006E7B4D"/>
    <w:rsid w:val="006F001E"/>
    <w:rsid w:val="006F0082"/>
    <w:rsid w:val="006F01FB"/>
    <w:rsid w:val="006F078A"/>
    <w:rsid w:val="006F109A"/>
    <w:rsid w:val="006F1EF5"/>
    <w:rsid w:val="006F21EE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E2D"/>
    <w:rsid w:val="00700BDC"/>
    <w:rsid w:val="00700FA4"/>
    <w:rsid w:val="007010A2"/>
    <w:rsid w:val="0070158E"/>
    <w:rsid w:val="007015F7"/>
    <w:rsid w:val="007018D7"/>
    <w:rsid w:val="00701952"/>
    <w:rsid w:val="00702691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E0"/>
    <w:rsid w:val="00706141"/>
    <w:rsid w:val="007064FE"/>
    <w:rsid w:val="007067E6"/>
    <w:rsid w:val="00706A69"/>
    <w:rsid w:val="0070737A"/>
    <w:rsid w:val="007100AF"/>
    <w:rsid w:val="0071011D"/>
    <w:rsid w:val="007107E0"/>
    <w:rsid w:val="007108E1"/>
    <w:rsid w:val="00710A63"/>
    <w:rsid w:val="00711172"/>
    <w:rsid w:val="00711D85"/>
    <w:rsid w:val="007120CF"/>
    <w:rsid w:val="007131A6"/>
    <w:rsid w:val="0071323E"/>
    <w:rsid w:val="00714EA2"/>
    <w:rsid w:val="00715D3A"/>
    <w:rsid w:val="0071698A"/>
    <w:rsid w:val="00716A5F"/>
    <w:rsid w:val="007170FD"/>
    <w:rsid w:val="00717195"/>
    <w:rsid w:val="0071743B"/>
    <w:rsid w:val="00717C65"/>
    <w:rsid w:val="00717EE8"/>
    <w:rsid w:val="0072005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6943"/>
    <w:rsid w:val="00727AFF"/>
    <w:rsid w:val="00727E06"/>
    <w:rsid w:val="00730CA7"/>
    <w:rsid w:val="00732A02"/>
    <w:rsid w:val="007336C5"/>
    <w:rsid w:val="007348F9"/>
    <w:rsid w:val="00734A0E"/>
    <w:rsid w:val="00734AFC"/>
    <w:rsid w:val="00734D17"/>
    <w:rsid w:val="00735CAF"/>
    <w:rsid w:val="00736969"/>
    <w:rsid w:val="007369C5"/>
    <w:rsid w:val="00736C77"/>
    <w:rsid w:val="0073734F"/>
    <w:rsid w:val="0074070A"/>
    <w:rsid w:val="00740A1A"/>
    <w:rsid w:val="00741994"/>
    <w:rsid w:val="00741A96"/>
    <w:rsid w:val="007420FC"/>
    <w:rsid w:val="00742658"/>
    <w:rsid w:val="0074280D"/>
    <w:rsid w:val="00742DE5"/>
    <w:rsid w:val="00743A3A"/>
    <w:rsid w:val="00744C3C"/>
    <w:rsid w:val="00745410"/>
    <w:rsid w:val="0074556D"/>
    <w:rsid w:val="00745977"/>
    <w:rsid w:val="00745F42"/>
    <w:rsid w:val="007460AA"/>
    <w:rsid w:val="00746402"/>
    <w:rsid w:val="007466E3"/>
    <w:rsid w:val="00746D76"/>
    <w:rsid w:val="00747A05"/>
    <w:rsid w:val="00750157"/>
    <w:rsid w:val="00750A09"/>
    <w:rsid w:val="007512AD"/>
    <w:rsid w:val="007521FE"/>
    <w:rsid w:val="00752728"/>
    <w:rsid w:val="00752FB6"/>
    <w:rsid w:val="00753F40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29D9"/>
    <w:rsid w:val="00764128"/>
    <w:rsid w:val="00764307"/>
    <w:rsid w:val="00765234"/>
    <w:rsid w:val="00765F6A"/>
    <w:rsid w:val="00765F97"/>
    <w:rsid w:val="00766038"/>
    <w:rsid w:val="00766057"/>
    <w:rsid w:val="00766F45"/>
    <w:rsid w:val="007670F4"/>
    <w:rsid w:val="00767708"/>
    <w:rsid w:val="0077080D"/>
    <w:rsid w:val="00770D6D"/>
    <w:rsid w:val="00771020"/>
    <w:rsid w:val="0077193C"/>
    <w:rsid w:val="00771CC7"/>
    <w:rsid w:val="0077218B"/>
    <w:rsid w:val="007721FA"/>
    <w:rsid w:val="007723AB"/>
    <w:rsid w:val="007727DA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6322"/>
    <w:rsid w:val="007766BF"/>
    <w:rsid w:val="007769D2"/>
    <w:rsid w:val="00776BA0"/>
    <w:rsid w:val="00776C86"/>
    <w:rsid w:val="00776E6F"/>
    <w:rsid w:val="00776EBD"/>
    <w:rsid w:val="00777EB7"/>
    <w:rsid w:val="00780215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817"/>
    <w:rsid w:val="00787CEE"/>
    <w:rsid w:val="00787E63"/>
    <w:rsid w:val="00787F92"/>
    <w:rsid w:val="007906AB"/>
    <w:rsid w:val="00790A27"/>
    <w:rsid w:val="00790DC3"/>
    <w:rsid w:val="00791257"/>
    <w:rsid w:val="00791D8A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537"/>
    <w:rsid w:val="00796FEE"/>
    <w:rsid w:val="007971C5"/>
    <w:rsid w:val="007973DA"/>
    <w:rsid w:val="00797D41"/>
    <w:rsid w:val="007A058B"/>
    <w:rsid w:val="007A100A"/>
    <w:rsid w:val="007A1E1B"/>
    <w:rsid w:val="007A27AB"/>
    <w:rsid w:val="007A2D9D"/>
    <w:rsid w:val="007A2E28"/>
    <w:rsid w:val="007A2EE6"/>
    <w:rsid w:val="007A334D"/>
    <w:rsid w:val="007A35A1"/>
    <w:rsid w:val="007A401C"/>
    <w:rsid w:val="007A4836"/>
    <w:rsid w:val="007A4C82"/>
    <w:rsid w:val="007A50E0"/>
    <w:rsid w:val="007A52AC"/>
    <w:rsid w:val="007A61EB"/>
    <w:rsid w:val="007A6675"/>
    <w:rsid w:val="007A68D2"/>
    <w:rsid w:val="007A6BE5"/>
    <w:rsid w:val="007A6D3F"/>
    <w:rsid w:val="007A6DAD"/>
    <w:rsid w:val="007A6DF3"/>
    <w:rsid w:val="007A7E5D"/>
    <w:rsid w:val="007A7FAD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56FD"/>
    <w:rsid w:val="007B607A"/>
    <w:rsid w:val="007B69A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E1C"/>
    <w:rsid w:val="007C4D74"/>
    <w:rsid w:val="007C57BC"/>
    <w:rsid w:val="007C61BD"/>
    <w:rsid w:val="007C6377"/>
    <w:rsid w:val="007C6C1C"/>
    <w:rsid w:val="007C7305"/>
    <w:rsid w:val="007C78CC"/>
    <w:rsid w:val="007C79B5"/>
    <w:rsid w:val="007C7ECD"/>
    <w:rsid w:val="007C7ED9"/>
    <w:rsid w:val="007D1564"/>
    <w:rsid w:val="007D16CC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472C"/>
    <w:rsid w:val="007D4876"/>
    <w:rsid w:val="007D5299"/>
    <w:rsid w:val="007D56FB"/>
    <w:rsid w:val="007D574B"/>
    <w:rsid w:val="007D591E"/>
    <w:rsid w:val="007D5B30"/>
    <w:rsid w:val="007D5B7E"/>
    <w:rsid w:val="007D6408"/>
    <w:rsid w:val="007D68C0"/>
    <w:rsid w:val="007D68F1"/>
    <w:rsid w:val="007D6B44"/>
    <w:rsid w:val="007D7033"/>
    <w:rsid w:val="007D7789"/>
    <w:rsid w:val="007D799B"/>
    <w:rsid w:val="007E01DB"/>
    <w:rsid w:val="007E0C0D"/>
    <w:rsid w:val="007E158B"/>
    <w:rsid w:val="007E2039"/>
    <w:rsid w:val="007E27B6"/>
    <w:rsid w:val="007E2C56"/>
    <w:rsid w:val="007E2C58"/>
    <w:rsid w:val="007E32C2"/>
    <w:rsid w:val="007E3445"/>
    <w:rsid w:val="007E37E3"/>
    <w:rsid w:val="007E3812"/>
    <w:rsid w:val="007E3FFF"/>
    <w:rsid w:val="007E40FA"/>
    <w:rsid w:val="007E47BC"/>
    <w:rsid w:val="007E4BF2"/>
    <w:rsid w:val="007E4F0D"/>
    <w:rsid w:val="007E4F1E"/>
    <w:rsid w:val="007E52D6"/>
    <w:rsid w:val="007E6990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A74"/>
    <w:rsid w:val="007F40A7"/>
    <w:rsid w:val="007F4258"/>
    <w:rsid w:val="007F4847"/>
    <w:rsid w:val="007F4921"/>
    <w:rsid w:val="007F4A8F"/>
    <w:rsid w:val="007F507D"/>
    <w:rsid w:val="007F5217"/>
    <w:rsid w:val="007F5A67"/>
    <w:rsid w:val="007F632D"/>
    <w:rsid w:val="007F642E"/>
    <w:rsid w:val="007F675F"/>
    <w:rsid w:val="007F6DA0"/>
    <w:rsid w:val="007F754F"/>
    <w:rsid w:val="007F76E3"/>
    <w:rsid w:val="0080016A"/>
    <w:rsid w:val="0080066C"/>
    <w:rsid w:val="00801247"/>
    <w:rsid w:val="008013AF"/>
    <w:rsid w:val="0080163E"/>
    <w:rsid w:val="00801DEE"/>
    <w:rsid w:val="00801E8C"/>
    <w:rsid w:val="00802368"/>
    <w:rsid w:val="008024E0"/>
    <w:rsid w:val="00802779"/>
    <w:rsid w:val="008028A8"/>
    <w:rsid w:val="00802CBB"/>
    <w:rsid w:val="00803786"/>
    <w:rsid w:val="0080435C"/>
    <w:rsid w:val="00804458"/>
    <w:rsid w:val="008044FF"/>
    <w:rsid w:val="00805410"/>
    <w:rsid w:val="00805DCF"/>
    <w:rsid w:val="0080618E"/>
    <w:rsid w:val="008061CD"/>
    <w:rsid w:val="008066C0"/>
    <w:rsid w:val="00806A9D"/>
    <w:rsid w:val="0080700D"/>
    <w:rsid w:val="00807531"/>
    <w:rsid w:val="00807C8C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E0B"/>
    <w:rsid w:val="00815FDB"/>
    <w:rsid w:val="00816080"/>
    <w:rsid w:val="008168C7"/>
    <w:rsid w:val="00816AE6"/>
    <w:rsid w:val="00816E12"/>
    <w:rsid w:val="008179B6"/>
    <w:rsid w:val="00817C4A"/>
    <w:rsid w:val="00821345"/>
    <w:rsid w:val="008217E6"/>
    <w:rsid w:val="008220D3"/>
    <w:rsid w:val="0082251F"/>
    <w:rsid w:val="008226E1"/>
    <w:rsid w:val="0082329C"/>
    <w:rsid w:val="00823A6A"/>
    <w:rsid w:val="00824733"/>
    <w:rsid w:val="00824E12"/>
    <w:rsid w:val="00824F2B"/>
    <w:rsid w:val="008256BC"/>
    <w:rsid w:val="0082588D"/>
    <w:rsid w:val="00825D8E"/>
    <w:rsid w:val="0082638C"/>
    <w:rsid w:val="00826576"/>
    <w:rsid w:val="00826C7C"/>
    <w:rsid w:val="00827573"/>
    <w:rsid w:val="008277C2"/>
    <w:rsid w:val="00827A75"/>
    <w:rsid w:val="00827C6D"/>
    <w:rsid w:val="008301D2"/>
    <w:rsid w:val="008301FA"/>
    <w:rsid w:val="00830C1E"/>
    <w:rsid w:val="00830FA7"/>
    <w:rsid w:val="0083221F"/>
    <w:rsid w:val="00832A9A"/>
    <w:rsid w:val="00832F1F"/>
    <w:rsid w:val="00833284"/>
    <w:rsid w:val="008336E9"/>
    <w:rsid w:val="00833D75"/>
    <w:rsid w:val="008341FE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223B"/>
    <w:rsid w:val="00842A19"/>
    <w:rsid w:val="00842DC1"/>
    <w:rsid w:val="00842DD3"/>
    <w:rsid w:val="00842E32"/>
    <w:rsid w:val="00842F57"/>
    <w:rsid w:val="008435B3"/>
    <w:rsid w:val="008438E7"/>
    <w:rsid w:val="00844D1B"/>
    <w:rsid w:val="0084504F"/>
    <w:rsid w:val="00845381"/>
    <w:rsid w:val="008456AB"/>
    <w:rsid w:val="00845C45"/>
    <w:rsid w:val="00846676"/>
    <w:rsid w:val="00846CEB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27D4"/>
    <w:rsid w:val="00862973"/>
    <w:rsid w:val="00862C3F"/>
    <w:rsid w:val="00863B68"/>
    <w:rsid w:val="00864206"/>
    <w:rsid w:val="00864355"/>
    <w:rsid w:val="0086454C"/>
    <w:rsid w:val="00864B70"/>
    <w:rsid w:val="00864ED9"/>
    <w:rsid w:val="00865235"/>
    <w:rsid w:val="00865485"/>
    <w:rsid w:val="0086589A"/>
    <w:rsid w:val="0086599A"/>
    <w:rsid w:val="00866BF5"/>
    <w:rsid w:val="00866C3C"/>
    <w:rsid w:val="00866F37"/>
    <w:rsid w:val="00867CD6"/>
    <w:rsid w:val="00870428"/>
    <w:rsid w:val="0087099D"/>
    <w:rsid w:val="00870C71"/>
    <w:rsid w:val="00870F78"/>
    <w:rsid w:val="008718D8"/>
    <w:rsid w:val="00871B92"/>
    <w:rsid w:val="00872570"/>
    <w:rsid w:val="008728B3"/>
    <w:rsid w:val="00872E67"/>
    <w:rsid w:val="0087350E"/>
    <w:rsid w:val="00873A3D"/>
    <w:rsid w:val="00874543"/>
    <w:rsid w:val="00875576"/>
    <w:rsid w:val="00876C49"/>
    <w:rsid w:val="00876EE0"/>
    <w:rsid w:val="008771D9"/>
    <w:rsid w:val="00877229"/>
    <w:rsid w:val="0087747F"/>
    <w:rsid w:val="00877623"/>
    <w:rsid w:val="00877AA5"/>
    <w:rsid w:val="00877C32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637C"/>
    <w:rsid w:val="008864E1"/>
    <w:rsid w:val="00886717"/>
    <w:rsid w:val="00886D4C"/>
    <w:rsid w:val="008904A2"/>
    <w:rsid w:val="00890641"/>
    <w:rsid w:val="0089071E"/>
    <w:rsid w:val="00890AD7"/>
    <w:rsid w:val="00890CB3"/>
    <w:rsid w:val="00891276"/>
    <w:rsid w:val="008918A9"/>
    <w:rsid w:val="00891D57"/>
    <w:rsid w:val="00891E71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F98"/>
    <w:rsid w:val="0089546F"/>
    <w:rsid w:val="00895A11"/>
    <w:rsid w:val="008960BA"/>
    <w:rsid w:val="0089629D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2659"/>
    <w:rsid w:val="008A29ED"/>
    <w:rsid w:val="008A2E1E"/>
    <w:rsid w:val="008A3161"/>
    <w:rsid w:val="008A34C8"/>
    <w:rsid w:val="008A378B"/>
    <w:rsid w:val="008A38C2"/>
    <w:rsid w:val="008A3944"/>
    <w:rsid w:val="008A403F"/>
    <w:rsid w:val="008A4E26"/>
    <w:rsid w:val="008A5368"/>
    <w:rsid w:val="008A5563"/>
    <w:rsid w:val="008A586C"/>
    <w:rsid w:val="008A5D98"/>
    <w:rsid w:val="008A7375"/>
    <w:rsid w:val="008A74FC"/>
    <w:rsid w:val="008B075A"/>
    <w:rsid w:val="008B0DA0"/>
    <w:rsid w:val="008B139E"/>
    <w:rsid w:val="008B1632"/>
    <w:rsid w:val="008B18BE"/>
    <w:rsid w:val="008B1E5D"/>
    <w:rsid w:val="008B2AA4"/>
    <w:rsid w:val="008B2F58"/>
    <w:rsid w:val="008B3410"/>
    <w:rsid w:val="008B43A9"/>
    <w:rsid w:val="008B4731"/>
    <w:rsid w:val="008B47D1"/>
    <w:rsid w:val="008B5B04"/>
    <w:rsid w:val="008B6127"/>
    <w:rsid w:val="008B6C1D"/>
    <w:rsid w:val="008B6F96"/>
    <w:rsid w:val="008B709B"/>
    <w:rsid w:val="008B72AB"/>
    <w:rsid w:val="008B7452"/>
    <w:rsid w:val="008C03CB"/>
    <w:rsid w:val="008C0524"/>
    <w:rsid w:val="008C0699"/>
    <w:rsid w:val="008C083C"/>
    <w:rsid w:val="008C0AEE"/>
    <w:rsid w:val="008C133D"/>
    <w:rsid w:val="008C2DCC"/>
    <w:rsid w:val="008C3261"/>
    <w:rsid w:val="008C346D"/>
    <w:rsid w:val="008C3B2D"/>
    <w:rsid w:val="008C3B84"/>
    <w:rsid w:val="008C419A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971"/>
    <w:rsid w:val="008D2ED9"/>
    <w:rsid w:val="008D2EF5"/>
    <w:rsid w:val="008D3072"/>
    <w:rsid w:val="008D4089"/>
    <w:rsid w:val="008D4D00"/>
    <w:rsid w:val="008D5264"/>
    <w:rsid w:val="008D582E"/>
    <w:rsid w:val="008D5A5B"/>
    <w:rsid w:val="008D5F68"/>
    <w:rsid w:val="008D5FEB"/>
    <w:rsid w:val="008D63B6"/>
    <w:rsid w:val="008D66C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3AC"/>
    <w:rsid w:val="008E161C"/>
    <w:rsid w:val="008E1801"/>
    <w:rsid w:val="008E232C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CE8"/>
    <w:rsid w:val="008E54CD"/>
    <w:rsid w:val="008E556E"/>
    <w:rsid w:val="008E5CEA"/>
    <w:rsid w:val="008E5D48"/>
    <w:rsid w:val="008E68BC"/>
    <w:rsid w:val="008E6F6E"/>
    <w:rsid w:val="008E7308"/>
    <w:rsid w:val="008E7D40"/>
    <w:rsid w:val="008E7E1C"/>
    <w:rsid w:val="008F0147"/>
    <w:rsid w:val="008F0396"/>
    <w:rsid w:val="008F039E"/>
    <w:rsid w:val="008F0566"/>
    <w:rsid w:val="008F152B"/>
    <w:rsid w:val="008F1923"/>
    <w:rsid w:val="008F219D"/>
    <w:rsid w:val="008F2292"/>
    <w:rsid w:val="008F247B"/>
    <w:rsid w:val="008F2871"/>
    <w:rsid w:val="008F2C53"/>
    <w:rsid w:val="008F3819"/>
    <w:rsid w:val="008F444A"/>
    <w:rsid w:val="008F46DE"/>
    <w:rsid w:val="008F4932"/>
    <w:rsid w:val="008F5241"/>
    <w:rsid w:val="008F6275"/>
    <w:rsid w:val="008F6757"/>
    <w:rsid w:val="008F6BAA"/>
    <w:rsid w:val="008F6C91"/>
    <w:rsid w:val="00901240"/>
    <w:rsid w:val="00902D6C"/>
    <w:rsid w:val="00903136"/>
    <w:rsid w:val="009037EA"/>
    <w:rsid w:val="00903A70"/>
    <w:rsid w:val="00903B33"/>
    <w:rsid w:val="00903C1E"/>
    <w:rsid w:val="0090404D"/>
    <w:rsid w:val="00904133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364"/>
    <w:rsid w:val="00910445"/>
    <w:rsid w:val="00910DAB"/>
    <w:rsid w:val="00910EB4"/>
    <w:rsid w:val="009112C5"/>
    <w:rsid w:val="009113D2"/>
    <w:rsid w:val="00911862"/>
    <w:rsid w:val="0091210F"/>
    <w:rsid w:val="009121A3"/>
    <w:rsid w:val="009124D0"/>
    <w:rsid w:val="00912621"/>
    <w:rsid w:val="00912C02"/>
    <w:rsid w:val="00912DD7"/>
    <w:rsid w:val="009132BC"/>
    <w:rsid w:val="00913595"/>
    <w:rsid w:val="0091367F"/>
    <w:rsid w:val="00913BA1"/>
    <w:rsid w:val="00913F12"/>
    <w:rsid w:val="00913FE6"/>
    <w:rsid w:val="00914C3F"/>
    <w:rsid w:val="009159E2"/>
    <w:rsid w:val="00915AE6"/>
    <w:rsid w:val="00915B35"/>
    <w:rsid w:val="00915DEB"/>
    <w:rsid w:val="00916000"/>
    <w:rsid w:val="00916147"/>
    <w:rsid w:val="009162E4"/>
    <w:rsid w:val="009172BB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4BBD"/>
    <w:rsid w:val="00935B4E"/>
    <w:rsid w:val="00936223"/>
    <w:rsid w:val="00936CB3"/>
    <w:rsid w:val="00936FE5"/>
    <w:rsid w:val="00937262"/>
    <w:rsid w:val="009376F7"/>
    <w:rsid w:val="00937A27"/>
    <w:rsid w:val="009406AE"/>
    <w:rsid w:val="00940DCD"/>
    <w:rsid w:val="00941C77"/>
    <w:rsid w:val="00942443"/>
    <w:rsid w:val="009427E6"/>
    <w:rsid w:val="009435F1"/>
    <w:rsid w:val="00943AAC"/>
    <w:rsid w:val="00943D9D"/>
    <w:rsid w:val="009440D5"/>
    <w:rsid w:val="00944E98"/>
    <w:rsid w:val="0094551A"/>
    <w:rsid w:val="00945559"/>
    <w:rsid w:val="00945BD9"/>
    <w:rsid w:val="00945CC1"/>
    <w:rsid w:val="00946517"/>
    <w:rsid w:val="009465A2"/>
    <w:rsid w:val="00946A19"/>
    <w:rsid w:val="0094784D"/>
    <w:rsid w:val="00947C89"/>
    <w:rsid w:val="0095037B"/>
    <w:rsid w:val="00950884"/>
    <w:rsid w:val="00950D8B"/>
    <w:rsid w:val="0095100C"/>
    <w:rsid w:val="00951600"/>
    <w:rsid w:val="00951F1E"/>
    <w:rsid w:val="00952316"/>
    <w:rsid w:val="00952A9F"/>
    <w:rsid w:val="00952F44"/>
    <w:rsid w:val="00953095"/>
    <w:rsid w:val="00953B8E"/>
    <w:rsid w:val="00953D64"/>
    <w:rsid w:val="00954154"/>
    <w:rsid w:val="009542B2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F82"/>
    <w:rsid w:val="00965774"/>
    <w:rsid w:val="0096603A"/>
    <w:rsid w:val="009664A6"/>
    <w:rsid w:val="0096670C"/>
    <w:rsid w:val="00966C2B"/>
    <w:rsid w:val="00967682"/>
    <w:rsid w:val="00967B26"/>
    <w:rsid w:val="0097122C"/>
    <w:rsid w:val="009712A1"/>
    <w:rsid w:val="0097159D"/>
    <w:rsid w:val="00971631"/>
    <w:rsid w:val="00971A6E"/>
    <w:rsid w:val="00971D6B"/>
    <w:rsid w:val="009722E9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F89"/>
    <w:rsid w:val="00984E26"/>
    <w:rsid w:val="00985695"/>
    <w:rsid w:val="00985F45"/>
    <w:rsid w:val="009867A3"/>
    <w:rsid w:val="009868C6"/>
    <w:rsid w:val="00986B93"/>
    <w:rsid w:val="00986C98"/>
    <w:rsid w:val="00986CFC"/>
    <w:rsid w:val="009870D8"/>
    <w:rsid w:val="00987FB1"/>
    <w:rsid w:val="0099008A"/>
    <w:rsid w:val="00990261"/>
    <w:rsid w:val="00990C1D"/>
    <w:rsid w:val="00990F67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720A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B00CA"/>
    <w:rsid w:val="009B04C5"/>
    <w:rsid w:val="009B06B8"/>
    <w:rsid w:val="009B0B84"/>
    <w:rsid w:val="009B0BA8"/>
    <w:rsid w:val="009B13F8"/>
    <w:rsid w:val="009B17E7"/>
    <w:rsid w:val="009B20DA"/>
    <w:rsid w:val="009B294C"/>
    <w:rsid w:val="009B29DF"/>
    <w:rsid w:val="009B3927"/>
    <w:rsid w:val="009B3B15"/>
    <w:rsid w:val="009B3D8C"/>
    <w:rsid w:val="009B5639"/>
    <w:rsid w:val="009B5CEE"/>
    <w:rsid w:val="009B5D33"/>
    <w:rsid w:val="009B5D97"/>
    <w:rsid w:val="009B5F5D"/>
    <w:rsid w:val="009B64C3"/>
    <w:rsid w:val="009B6BFF"/>
    <w:rsid w:val="009B71E2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27FA"/>
    <w:rsid w:val="009C2D0E"/>
    <w:rsid w:val="009C2E97"/>
    <w:rsid w:val="009C3629"/>
    <w:rsid w:val="009C4519"/>
    <w:rsid w:val="009C462C"/>
    <w:rsid w:val="009C49C5"/>
    <w:rsid w:val="009C4C6A"/>
    <w:rsid w:val="009C4D38"/>
    <w:rsid w:val="009C4F0E"/>
    <w:rsid w:val="009C56BE"/>
    <w:rsid w:val="009C57E6"/>
    <w:rsid w:val="009C5AF7"/>
    <w:rsid w:val="009C715B"/>
    <w:rsid w:val="009C71E9"/>
    <w:rsid w:val="009C76C4"/>
    <w:rsid w:val="009C7772"/>
    <w:rsid w:val="009C778C"/>
    <w:rsid w:val="009C7BE3"/>
    <w:rsid w:val="009D0100"/>
    <w:rsid w:val="009D08E9"/>
    <w:rsid w:val="009D09F4"/>
    <w:rsid w:val="009D1195"/>
    <w:rsid w:val="009D1DA4"/>
    <w:rsid w:val="009D21E1"/>
    <w:rsid w:val="009D26AF"/>
    <w:rsid w:val="009D2B99"/>
    <w:rsid w:val="009D471B"/>
    <w:rsid w:val="009D49AF"/>
    <w:rsid w:val="009D4B72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E90"/>
    <w:rsid w:val="009E323C"/>
    <w:rsid w:val="009E339F"/>
    <w:rsid w:val="009E3915"/>
    <w:rsid w:val="009E3CDC"/>
    <w:rsid w:val="009E4165"/>
    <w:rsid w:val="009E47CD"/>
    <w:rsid w:val="009E5319"/>
    <w:rsid w:val="009E5669"/>
    <w:rsid w:val="009E6080"/>
    <w:rsid w:val="009E64BF"/>
    <w:rsid w:val="009E6DDE"/>
    <w:rsid w:val="009E753F"/>
    <w:rsid w:val="009E75EB"/>
    <w:rsid w:val="009E76FE"/>
    <w:rsid w:val="009E7D32"/>
    <w:rsid w:val="009F0304"/>
    <w:rsid w:val="009F043C"/>
    <w:rsid w:val="009F0F49"/>
    <w:rsid w:val="009F0F9A"/>
    <w:rsid w:val="009F161C"/>
    <w:rsid w:val="009F229C"/>
    <w:rsid w:val="009F22B9"/>
    <w:rsid w:val="009F230D"/>
    <w:rsid w:val="009F2639"/>
    <w:rsid w:val="009F2B66"/>
    <w:rsid w:val="009F2C72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8C4"/>
    <w:rsid w:val="009F59A8"/>
    <w:rsid w:val="009F5D5E"/>
    <w:rsid w:val="009F60D0"/>
    <w:rsid w:val="009F6652"/>
    <w:rsid w:val="009F6924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E70"/>
    <w:rsid w:val="00A04318"/>
    <w:rsid w:val="00A0440A"/>
    <w:rsid w:val="00A04961"/>
    <w:rsid w:val="00A05CFF"/>
    <w:rsid w:val="00A05D7D"/>
    <w:rsid w:val="00A05E75"/>
    <w:rsid w:val="00A064E0"/>
    <w:rsid w:val="00A072AA"/>
    <w:rsid w:val="00A07372"/>
    <w:rsid w:val="00A10039"/>
    <w:rsid w:val="00A104B3"/>
    <w:rsid w:val="00A10D26"/>
    <w:rsid w:val="00A10E8E"/>
    <w:rsid w:val="00A1128C"/>
    <w:rsid w:val="00A112BF"/>
    <w:rsid w:val="00A11338"/>
    <w:rsid w:val="00A1145F"/>
    <w:rsid w:val="00A115B5"/>
    <w:rsid w:val="00A116C8"/>
    <w:rsid w:val="00A11939"/>
    <w:rsid w:val="00A127E3"/>
    <w:rsid w:val="00A128B3"/>
    <w:rsid w:val="00A129F5"/>
    <w:rsid w:val="00A1332F"/>
    <w:rsid w:val="00A13AB5"/>
    <w:rsid w:val="00A13E13"/>
    <w:rsid w:val="00A141CF"/>
    <w:rsid w:val="00A141F5"/>
    <w:rsid w:val="00A143C8"/>
    <w:rsid w:val="00A1455F"/>
    <w:rsid w:val="00A14E4F"/>
    <w:rsid w:val="00A15538"/>
    <w:rsid w:val="00A15614"/>
    <w:rsid w:val="00A15E0A"/>
    <w:rsid w:val="00A169B0"/>
    <w:rsid w:val="00A16D99"/>
    <w:rsid w:val="00A172DD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232C"/>
    <w:rsid w:val="00A228D9"/>
    <w:rsid w:val="00A23800"/>
    <w:rsid w:val="00A23D3D"/>
    <w:rsid w:val="00A23F12"/>
    <w:rsid w:val="00A24453"/>
    <w:rsid w:val="00A25076"/>
    <w:rsid w:val="00A25AF6"/>
    <w:rsid w:val="00A261D0"/>
    <w:rsid w:val="00A262E4"/>
    <w:rsid w:val="00A265B3"/>
    <w:rsid w:val="00A26E1C"/>
    <w:rsid w:val="00A26EC5"/>
    <w:rsid w:val="00A27172"/>
    <w:rsid w:val="00A271DE"/>
    <w:rsid w:val="00A272EA"/>
    <w:rsid w:val="00A27B9C"/>
    <w:rsid w:val="00A27E85"/>
    <w:rsid w:val="00A30129"/>
    <w:rsid w:val="00A30B7A"/>
    <w:rsid w:val="00A30D0D"/>
    <w:rsid w:val="00A30FED"/>
    <w:rsid w:val="00A31B8A"/>
    <w:rsid w:val="00A31F75"/>
    <w:rsid w:val="00A324FD"/>
    <w:rsid w:val="00A328E0"/>
    <w:rsid w:val="00A33020"/>
    <w:rsid w:val="00A3370C"/>
    <w:rsid w:val="00A33794"/>
    <w:rsid w:val="00A3420E"/>
    <w:rsid w:val="00A34C85"/>
    <w:rsid w:val="00A35248"/>
    <w:rsid w:val="00A35D70"/>
    <w:rsid w:val="00A364C3"/>
    <w:rsid w:val="00A3686C"/>
    <w:rsid w:val="00A36F96"/>
    <w:rsid w:val="00A36F9B"/>
    <w:rsid w:val="00A376FA"/>
    <w:rsid w:val="00A37839"/>
    <w:rsid w:val="00A40917"/>
    <w:rsid w:val="00A410C2"/>
    <w:rsid w:val="00A41656"/>
    <w:rsid w:val="00A41CCC"/>
    <w:rsid w:val="00A41DC8"/>
    <w:rsid w:val="00A42D09"/>
    <w:rsid w:val="00A42EC6"/>
    <w:rsid w:val="00A436CC"/>
    <w:rsid w:val="00A439D4"/>
    <w:rsid w:val="00A44761"/>
    <w:rsid w:val="00A44C82"/>
    <w:rsid w:val="00A451A5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50009"/>
    <w:rsid w:val="00A502D6"/>
    <w:rsid w:val="00A507FC"/>
    <w:rsid w:val="00A5106F"/>
    <w:rsid w:val="00A510FC"/>
    <w:rsid w:val="00A518A5"/>
    <w:rsid w:val="00A52433"/>
    <w:rsid w:val="00A525CE"/>
    <w:rsid w:val="00A53200"/>
    <w:rsid w:val="00A54046"/>
    <w:rsid w:val="00A541F4"/>
    <w:rsid w:val="00A54392"/>
    <w:rsid w:val="00A55033"/>
    <w:rsid w:val="00A55460"/>
    <w:rsid w:val="00A558A9"/>
    <w:rsid w:val="00A55D9B"/>
    <w:rsid w:val="00A563A8"/>
    <w:rsid w:val="00A5644E"/>
    <w:rsid w:val="00A5663C"/>
    <w:rsid w:val="00A56902"/>
    <w:rsid w:val="00A56A4A"/>
    <w:rsid w:val="00A57853"/>
    <w:rsid w:val="00A57C7E"/>
    <w:rsid w:val="00A6131A"/>
    <w:rsid w:val="00A616ED"/>
    <w:rsid w:val="00A6234A"/>
    <w:rsid w:val="00A623FC"/>
    <w:rsid w:val="00A62438"/>
    <w:rsid w:val="00A62C85"/>
    <w:rsid w:val="00A634E5"/>
    <w:rsid w:val="00A63DD1"/>
    <w:rsid w:val="00A63FB1"/>
    <w:rsid w:val="00A641B0"/>
    <w:rsid w:val="00A642A2"/>
    <w:rsid w:val="00A646F4"/>
    <w:rsid w:val="00A64A82"/>
    <w:rsid w:val="00A65335"/>
    <w:rsid w:val="00A65552"/>
    <w:rsid w:val="00A65620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261D"/>
    <w:rsid w:val="00A72757"/>
    <w:rsid w:val="00A727AE"/>
    <w:rsid w:val="00A72953"/>
    <w:rsid w:val="00A72B00"/>
    <w:rsid w:val="00A72CF6"/>
    <w:rsid w:val="00A74B2E"/>
    <w:rsid w:val="00A74C06"/>
    <w:rsid w:val="00A751FF"/>
    <w:rsid w:val="00A753E4"/>
    <w:rsid w:val="00A76142"/>
    <w:rsid w:val="00A7723A"/>
    <w:rsid w:val="00A7790B"/>
    <w:rsid w:val="00A77A6C"/>
    <w:rsid w:val="00A77B6B"/>
    <w:rsid w:val="00A77DB9"/>
    <w:rsid w:val="00A801C1"/>
    <w:rsid w:val="00A809D0"/>
    <w:rsid w:val="00A814AF"/>
    <w:rsid w:val="00A81BC4"/>
    <w:rsid w:val="00A81C19"/>
    <w:rsid w:val="00A81FC7"/>
    <w:rsid w:val="00A8286E"/>
    <w:rsid w:val="00A8299D"/>
    <w:rsid w:val="00A83F0B"/>
    <w:rsid w:val="00A8412F"/>
    <w:rsid w:val="00A845F0"/>
    <w:rsid w:val="00A84AAB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4933"/>
    <w:rsid w:val="00A95412"/>
    <w:rsid w:val="00A96695"/>
    <w:rsid w:val="00A966CB"/>
    <w:rsid w:val="00A96CF5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526"/>
    <w:rsid w:val="00AA37F3"/>
    <w:rsid w:val="00AA3E9E"/>
    <w:rsid w:val="00AA3FD5"/>
    <w:rsid w:val="00AA40BE"/>
    <w:rsid w:val="00AA41D7"/>
    <w:rsid w:val="00AA476F"/>
    <w:rsid w:val="00AA4849"/>
    <w:rsid w:val="00AA4AE9"/>
    <w:rsid w:val="00AA4FC9"/>
    <w:rsid w:val="00AA6B84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E5E"/>
    <w:rsid w:val="00AC0070"/>
    <w:rsid w:val="00AC0542"/>
    <w:rsid w:val="00AC084B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A00"/>
    <w:rsid w:val="00AC3F23"/>
    <w:rsid w:val="00AC4A73"/>
    <w:rsid w:val="00AC4E2C"/>
    <w:rsid w:val="00AC50DA"/>
    <w:rsid w:val="00AC5A4A"/>
    <w:rsid w:val="00AC5ACB"/>
    <w:rsid w:val="00AC5FA4"/>
    <w:rsid w:val="00AC5FB5"/>
    <w:rsid w:val="00AC60A7"/>
    <w:rsid w:val="00AC612F"/>
    <w:rsid w:val="00AC64F1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7706"/>
    <w:rsid w:val="00AD786D"/>
    <w:rsid w:val="00AE01B4"/>
    <w:rsid w:val="00AE02FB"/>
    <w:rsid w:val="00AE082F"/>
    <w:rsid w:val="00AE0C42"/>
    <w:rsid w:val="00AE0EBC"/>
    <w:rsid w:val="00AE1071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A86"/>
    <w:rsid w:val="00AE6F28"/>
    <w:rsid w:val="00AF0DE8"/>
    <w:rsid w:val="00AF1EAF"/>
    <w:rsid w:val="00AF1FE7"/>
    <w:rsid w:val="00AF2569"/>
    <w:rsid w:val="00AF2E67"/>
    <w:rsid w:val="00AF3038"/>
    <w:rsid w:val="00AF3332"/>
    <w:rsid w:val="00AF33C9"/>
    <w:rsid w:val="00AF3E0A"/>
    <w:rsid w:val="00AF4074"/>
    <w:rsid w:val="00AF4419"/>
    <w:rsid w:val="00AF491D"/>
    <w:rsid w:val="00AF4B61"/>
    <w:rsid w:val="00AF4C4E"/>
    <w:rsid w:val="00AF4F33"/>
    <w:rsid w:val="00AF5618"/>
    <w:rsid w:val="00AF5845"/>
    <w:rsid w:val="00AF5C9F"/>
    <w:rsid w:val="00AF630B"/>
    <w:rsid w:val="00AF6488"/>
    <w:rsid w:val="00AF7168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B99"/>
    <w:rsid w:val="00B04FEB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4C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1ED5"/>
    <w:rsid w:val="00B2200F"/>
    <w:rsid w:val="00B22174"/>
    <w:rsid w:val="00B22394"/>
    <w:rsid w:val="00B22BA0"/>
    <w:rsid w:val="00B22E15"/>
    <w:rsid w:val="00B23602"/>
    <w:rsid w:val="00B2460A"/>
    <w:rsid w:val="00B24D76"/>
    <w:rsid w:val="00B25132"/>
    <w:rsid w:val="00B25167"/>
    <w:rsid w:val="00B25B2F"/>
    <w:rsid w:val="00B265B3"/>
    <w:rsid w:val="00B26C8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475"/>
    <w:rsid w:val="00B3251D"/>
    <w:rsid w:val="00B326E0"/>
    <w:rsid w:val="00B3288E"/>
    <w:rsid w:val="00B32A00"/>
    <w:rsid w:val="00B32C19"/>
    <w:rsid w:val="00B333F9"/>
    <w:rsid w:val="00B3377C"/>
    <w:rsid w:val="00B33F81"/>
    <w:rsid w:val="00B347B1"/>
    <w:rsid w:val="00B355E5"/>
    <w:rsid w:val="00B356E5"/>
    <w:rsid w:val="00B35946"/>
    <w:rsid w:val="00B359CD"/>
    <w:rsid w:val="00B35F14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F7F"/>
    <w:rsid w:val="00B438DA"/>
    <w:rsid w:val="00B43E9E"/>
    <w:rsid w:val="00B4426D"/>
    <w:rsid w:val="00B44A06"/>
    <w:rsid w:val="00B44EF3"/>
    <w:rsid w:val="00B46FB9"/>
    <w:rsid w:val="00B4708B"/>
    <w:rsid w:val="00B47C0C"/>
    <w:rsid w:val="00B47DB9"/>
    <w:rsid w:val="00B47F77"/>
    <w:rsid w:val="00B50B7D"/>
    <w:rsid w:val="00B5147C"/>
    <w:rsid w:val="00B51E09"/>
    <w:rsid w:val="00B52521"/>
    <w:rsid w:val="00B5389D"/>
    <w:rsid w:val="00B53F86"/>
    <w:rsid w:val="00B54322"/>
    <w:rsid w:val="00B5460E"/>
    <w:rsid w:val="00B554E5"/>
    <w:rsid w:val="00B5627A"/>
    <w:rsid w:val="00B56D1A"/>
    <w:rsid w:val="00B56D84"/>
    <w:rsid w:val="00B574EC"/>
    <w:rsid w:val="00B6013A"/>
    <w:rsid w:val="00B60A8D"/>
    <w:rsid w:val="00B60E23"/>
    <w:rsid w:val="00B6155C"/>
    <w:rsid w:val="00B61F72"/>
    <w:rsid w:val="00B61F73"/>
    <w:rsid w:val="00B61FD5"/>
    <w:rsid w:val="00B62200"/>
    <w:rsid w:val="00B623A2"/>
    <w:rsid w:val="00B6250B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DE2"/>
    <w:rsid w:val="00B679AC"/>
    <w:rsid w:val="00B67F15"/>
    <w:rsid w:val="00B67F3D"/>
    <w:rsid w:val="00B70A84"/>
    <w:rsid w:val="00B70B13"/>
    <w:rsid w:val="00B70D5E"/>
    <w:rsid w:val="00B70D7B"/>
    <w:rsid w:val="00B7132B"/>
    <w:rsid w:val="00B71404"/>
    <w:rsid w:val="00B7186B"/>
    <w:rsid w:val="00B71CA6"/>
    <w:rsid w:val="00B727EF"/>
    <w:rsid w:val="00B729C7"/>
    <w:rsid w:val="00B72B9B"/>
    <w:rsid w:val="00B72DB8"/>
    <w:rsid w:val="00B72FE4"/>
    <w:rsid w:val="00B73475"/>
    <w:rsid w:val="00B7428F"/>
    <w:rsid w:val="00B74C0A"/>
    <w:rsid w:val="00B75589"/>
    <w:rsid w:val="00B769AA"/>
    <w:rsid w:val="00B76FD5"/>
    <w:rsid w:val="00B7727A"/>
    <w:rsid w:val="00B77287"/>
    <w:rsid w:val="00B773AD"/>
    <w:rsid w:val="00B77AB1"/>
    <w:rsid w:val="00B80ADF"/>
    <w:rsid w:val="00B80FB0"/>
    <w:rsid w:val="00B816AB"/>
    <w:rsid w:val="00B81707"/>
    <w:rsid w:val="00B81D40"/>
    <w:rsid w:val="00B81FAF"/>
    <w:rsid w:val="00B83038"/>
    <w:rsid w:val="00B83328"/>
    <w:rsid w:val="00B83919"/>
    <w:rsid w:val="00B8431C"/>
    <w:rsid w:val="00B8453F"/>
    <w:rsid w:val="00B84B2D"/>
    <w:rsid w:val="00B850D3"/>
    <w:rsid w:val="00B8548E"/>
    <w:rsid w:val="00B86248"/>
    <w:rsid w:val="00B86C82"/>
    <w:rsid w:val="00B86CA7"/>
    <w:rsid w:val="00B86D97"/>
    <w:rsid w:val="00B8762D"/>
    <w:rsid w:val="00B87C0B"/>
    <w:rsid w:val="00B90356"/>
    <w:rsid w:val="00B9080F"/>
    <w:rsid w:val="00B90E02"/>
    <w:rsid w:val="00B90E3B"/>
    <w:rsid w:val="00B91055"/>
    <w:rsid w:val="00B91AF6"/>
    <w:rsid w:val="00B91BAD"/>
    <w:rsid w:val="00B91EAC"/>
    <w:rsid w:val="00B92EA8"/>
    <w:rsid w:val="00B934F2"/>
    <w:rsid w:val="00B93A16"/>
    <w:rsid w:val="00B93AA9"/>
    <w:rsid w:val="00B93B9F"/>
    <w:rsid w:val="00B94F22"/>
    <w:rsid w:val="00B9531E"/>
    <w:rsid w:val="00B958E2"/>
    <w:rsid w:val="00B961B9"/>
    <w:rsid w:val="00B96261"/>
    <w:rsid w:val="00B96381"/>
    <w:rsid w:val="00B97493"/>
    <w:rsid w:val="00B97AFA"/>
    <w:rsid w:val="00BA016A"/>
    <w:rsid w:val="00BA15A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54D7"/>
    <w:rsid w:val="00BA663C"/>
    <w:rsid w:val="00BA6725"/>
    <w:rsid w:val="00BA6B33"/>
    <w:rsid w:val="00BA6F8A"/>
    <w:rsid w:val="00BA777B"/>
    <w:rsid w:val="00BA7B81"/>
    <w:rsid w:val="00BA7C62"/>
    <w:rsid w:val="00BB0BB7"/>
    <w:rsid w:val="00BB122C"/>
    <w:rsid w:val="00BB14BF"/>
    <w:rsid w:val="00BB3429"/>
    <w:rsid w:val="00BB356F"/>
    <w:rsid w:val="00BB3BE7"/>
    <w:rsid w:val="00BB3D3A"/>
    <w:rsid w:val="00BB3F7A"/>
    <w:rsid w:val="00BB4227"/>
    <w:rsid w:val="00BB4879"/>
    <w:rsid w:val="00BB5143"/>
    <w:rsid w:val="00BB562D"/>
    <w:rsid w:val="00BB5A0B"/>
    <w:rsid w:val="00BB5F7B"/>
    <w:rsid w:val="00BB6197"/>
    <w:rsid w:val="00BB69F9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33CF"/>
    <w:rsid w:val="00BC3C42"/>
    <w:rsid w:val="00BC3EB4"/>
    <w:rsid w:val="00BC45C1"/>
    <w:rsid w:val="00BC45FE"/>
    <w:rsid w:val="00BC4648"/>
    <w:rsid w:val="00BC466F"/>
    <w:rsid w:val="00BC4A8F"/>
    <w:rsid w:val="00BC507E"/>
    <w:rsid w:val="00BC5863"/>
    <w:rsid w:val="00BC5AEB"/>
    <w:rsid w:val="00BC5DD2"/>
    <w:rsid w:val="00BC6143"/>
    <w:rsid w:val="00BC63FB"/>
    <w:rsid w:val="00BC6ABE"/>
    <w:rsid w:val="00BC6E3E"/>
    <w:rsid w:val="00BC7A26"/>
    <w:rsid w:val="00BC7F18"/>
    <w:rsid w:val="00BD0220"/>
    <w:rsid w:val="00BD03A0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BB4"/>
    <w:rsid w:val="00BD4CE0"/>
    <w:rsid w:val="00BD4E73"/>
    <w:rsid w:val="00BD4F18"/>
    <w:rsid w:val="00BD5064"/>
    <w:rsid w:val="00BD53C7"/>
    <w:rsid w:val="00BD5F03"/>
    <w:rsid w:val="00BD634F"/>
    <w:rsid w:val="00BD67ED"/>
    <w:rsid w:val="00BD6BC2"/>
    <w:rsid w:val="00BD6E7C"/>
    <w:rsid w:val="00BD72D7"/>
    <w:rsid w:val="00BD78BB"/>
    <w:rsid w:val="00BE0FD2"/>
    <w:rsid w:val="00BE103F"/>
    <w:rsid w:val="00BE18FE"/>
    <w:rsid w:val="00BE1ECA"/>
    <w:rsid w:val="00BE20BC"/>
    <w:rsid w:val="00BE23A8"/>
    <w:rsid w:val="00BE2741"/>
    <w:rsid w:val="00BE3090"/>
    <w:rsid w:val="00BE333B"/>
    <w:rsid w:val="00BE3960"/>
    <w:rsid w:val="00BE3F1C"/>
    <w:rsid w:val="00BE3F1D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10B5"/>
    <w:rsid w:val="00BF138B"/>
    <w:rsid w:val="00BF17B5"/>
    <w:rsid w:val="00BF19F3"/>
    <w:rsid w:val="00BF1BB8"/>
    <w:rsid w:val="00BF2289"/>
    <w:rsid w:val="00BF2682"/>
    <w:rsid w:val="00BF291D"/>
    <w:rsid w:val="00BF2E9E"/>
    <w:rsid w:val="00BF3034"/>
    <w:rsid w:val="00BF3486"/>
    <w:rsid w:val="00BF3904"/>
    <w:rsid w:val="00BF3B41"/>
    <w:rsid w:val="00BF3DD0"/>
    <w:rsid w:val="00BF3F60"/>
    <w:rsid w:val="00BF3F90"/>
    <w:rsid w:val="00BF4D52"/>
    <w:rsid w:val="00BF550D"/>
    <w:rsid w:val="00BF5601"/>
    <w:rsid w:val="00BF57ED"/>
    <w:rsid w:val="00BF60ED"/>
    <w:rsid w:val="00BF61C7"/>
    <w:rsid w:val="00BF674C"/>
    <w:rsid w:val="00BF6773"/>
    <w:rsid w:val="00BF6B33"/>
    <w:rsid w:val="00BF6CAB"/>
    <w:rsid w:val="00BF7563"/>
    <w:rsid w:val="00BF7774"/>
    <w:rsid w:val="00BF7F5D"/>
    <w:rsid w:val="00C004D6"/>
    <w:rsid w:val="00C006DE"/>
    <w:rsid w:val="00C00F33"/>
    <w:rsid w:val="00C01050"/>
    <w:rsid w:val="00C010A9"/>
    <w:rsid w:val="00C0124B"/>
    <w:rsid w:val="00C01474"/>
    <w:rsid w:val="00C01618"/>
    <w:rsid w:val="00C02071"/>
    <w:rsid w:val="00C02271"/>
    <w:rsid w:val="00C02566"/>
    <w:rsid w:val="00C033FC"/>
    <w:rsid w:val="00C0364E"/>
    <w:rsid w:val="00C03F53"/>
    <w:rsid w:val="00C04164"/>
    <w:rsid w:val="00C050F5"/>
    <w:rsid w:val="00C05314"/>
    <w:rsid w:val="00C05B8F"/>
    <w:rsid w:val="00C0614D"/>
    <w:rsid w:val="00C0654A"/>
    <w:rsid w:val="00C06583"/>
    <w:rsid w:val="00C06F14"/>
    <w:rsid w:val="00C0712C"/>
    <w:rsid w:val="00C071EF"/>
    <w:rsid w:val="00C072F6"/>
    <w:rsid w:val="00C100F8"/>
    <w:rsid w:val="00C1030F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B77"/>
    <w:rsid w:val="00C16208"/>
    <w:rsid w:val="00C169BF"/>
    <w:rsid w:val="00C17154"/>
    <w:rsid w:val="00C1720D"/>
    <w:rsid w:val="00C178B6"/>
    <w:rsid w:val="00C20714"/>
    <w:rsid w:val="00C2133F"/>
    <w:rsid w:val="00C213B0"/>
    <w:rsid w:val="00C215AB"/>
    <w:rsid w:val="00C21BEB"/>
    <w:rsid w:val="00C22256"/>
    <w:rsid w:val="00C22279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9F6"/>
    <w:rsid w:val="00C2633B"/>
    <w:rsid w:val="00C26A82"/>
    <w:rsid w:val="00C2791F"/>
    <w:rsid w:val="00C2793B"/>
    <w:rsid w:val="00C300B6"/>
    <w:rsid w:val="00C304D8"/>
    <w:rsid w:val="00C31096"/>
    <w:rsid w:val="00C311D9"/>
    <w:rsid w:val="00C31E57"/>
    <w:rsid w:val="00C31E88"/>
    <w:rsid w:val="00C31EA4"/>
    <w:rsid w:val="00C3270A"/>
    <w:rsid w:val="00C33195"/>
    <w:rsid w:val="00C33217"/>
    <w:rsid w:val="00C33E57"/>
    <w:rsid w:val="00C33FF2"/>
    <w:rsid w:val="00C343A9"/>
    <w:rsid w:val="00C348B8"/>
    <w:rsid w:val="00C34A54"/>
    <w:rsid w:val="00C34D4F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88A"/>
    <w:rsid w:val="00C42758"/>
    <w:rsid w:val="00C42824"/>
    <w:rsid w:val="00C42D44"/>
    <w:rsid w:val="00C42D73"/>
    <w:rsid w:val="00C42F94"/>
    <w:rsid w:val="00C4306B"/>
    <w:rsid w:val="00C4363D"/>
    <w:rsid w:val="00C43A09"/>
    <w:rsid w:val="00C43AB2"/>
    <w:rsid w:val="00C43B2D"/>
    <w:rsid w:val="00C43CDE"/>
    <w:rsid w:val="00C43EC5"/>
    <w:rsid w:val="00C445D0"/>
    <w:rsid w:val="00C45299"/>
    <w:rsid w:val="00C45599"/>
    <w:rsid w:val="00C45DD5"/>
    <w:rsid w:val="00C46983"/>
    <w:rsid w:val="00C46A3C"/>
    <w:rsid w:val="00C46F07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D7A"/>
    <w:rsid w:val="00C538E9"/>
    <w:rsid w:val="00C53AE8"/>
    <w:rsid w:val="00C53FDB"/>
    <w:rsid w:val="00C5414C"/>
    <w:rsid w:val="00C54EBD"/>
    <w:rsid w:val="00C55982"/>
    <w:rsid w:val="00C55A7E"/>
    <w:rsid w:val="00C566B5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191E"/>
    <w:rsid w:val="00C626FB"/>
    <w:rsid w:val="00C62B3B"/>
    <w:rsid w:val="00C631DA"/>
    <w:rsid w:val="00C6324A"/>
    <w:rsid w:val="00C63497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ABE"/>
    <w:rsid w:val="00C675C1"/>
    <w:rsid w:val="00C67FDB"/>
    <w:rsid w:val="00C70024"/>
    <w:rsid w:val="00C703B4"/>
    <w:rsid w:val="00C704BE"/>
    <w:rsid w:val="00C70E8C"/>
    <w:rsid w:val="00C7106E"/>
    <w:rsid w:val="00C71BF8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6BF"/>
    <w:rsid w:val="00C75E48"/>
    <w:rsid w:val="00C75F70"/>
    <w:rsid w:val="00C76C30"/>
    <w:rsid w:val="00C76E79"/>
    <w:rsid w:val="00C77529"/>
    <w:rsid w:val="00C778A3"/>
    <w:rsid w:val="00C77B68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BE"/>
    <w:rsid w:val="00C839C4"/>
    <w:rsid w:val="00C83DDE"/>
    <w:rsid w:val="00C84108"/>
    <w:rsid w:val="00C843FD"/>
    <w:rsid w:val="00C851D7"/>
    <w:rsid w:val="00C856A3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7A0"/>
    <w:rsid w:val="00C95E88"/>
    <w:rsid w:val="00C96E1D"/>
    <w:rsid w:val="00C97913"/>
    <w:rsid w:val="00C979AB"/>
    <w:rsid w:val="00CA04C8"/>
    <w:rsid w:val="00CA0717"/>
    <w:rsid w:val="00CA0E55"/>
    <w:rsid w:val="00CA2138"/>
    <w:rsid w:val="00CA22E9"/>
    <w:rsid w:val="00CA28B4"/>
    <w:rsid w:val="00CA2A78"/>
    <w:rsid w:val="00CA36B3"/>
    <w:rsid w:val="00CA36BA"/>
    <w:rsid w:val="00CA3872"/>
    <w:rsid w:val="00CA4047"/>
    <w:rsid w:val="00CA42E1"/>
    <w:rsid w:val="00CA4620"/>
    <w:rsid w:val="00CA4C1D"/>
    <w:rsid w:val="00CA543F"/>
    <w:rsid w:val="00CA5598"/>
    <w:rsid w:val="00CA5ABC"/>
    <w:rsid w:val="00CA5FEE"/>
    <w:rsid w:val="00CA6714"/>
    <w:rsid w:val="00CA7321"/>
    <w:rsid w:val="00CA7E07"/>
    <w:rsid w:val="00CA7E35"/>
    <w:rsid w:val="00CB0C2D"/>
    <w:rsid w:val="00CB132F"/>
    <w:rsid w:val="00CB179F"/>
    <w:rsid w:val="00CB208B"/>
    <w:rsid w:val="00CB2BF5"/>
    <w:rsid w:val="00CB3109"/>
    <w:rsid w:val="00CB39C1"/>
    <w:rsid w:val="00CB3E64"/>
    <w:rsid w:val="00CB44D3"/>
    <w:rsid w:val="00CB4B22"/>
    <w:rsid w:val="00CB500E"/>
    <w:rsid w:val="00CB54DC"/>
    <w:rsid w:val="00CB5D83"/>
    <w:rsid w:val="00CB5E38"/>
    <w:rsid w:val="00CB64C8"/>
    <w:rsid w:val="00CB70FD"/>
    <w:rsid w:val="00CB71CE"/>
    <w:rsid w:val="00CB75F7"/>
    <w:rsid w:val="00CB76E6"/>
    <w:rsid w:val="00CB7902"/>
    <w:rsid w:val="00CC018B"/>
    <w:rsid w:val="00CC0AAB"/>
    <w:rsid w:val="00CC1A46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E45"/>
    <w:rsid w:val="00CC5EA4"/>
    <w:rsid w:val="00CC6170"/>
    <w:rsid w:val="00CC63D4"/>
    <w:rsid w:val="00CC65BD"/>
    <w:rsid w:val="00CC7772"/>
    <w:rsid w:val="00CC7FFA"/>
    <w:rsid w:val="00CD00B1"/>
    <w:rsid w:val="00CD036C"/>
    <w:rsid w:val="00CD0775"/>
    <w:rsid w:val="00CD0CCB"/>
    <w:rsid w:val="00CD1C2A"/>
    <w:rsid w:val="00CD208D"/>
    <w:rsid w:val="00CD228E"/>
    <w:rsid w:val="00CD26E9"/>
    <w:rsid w:val="00CD26F2"/>
    <w:rsid w:val="00CD300A"/>
    <w:rsid w:val="00CD3148"/>
    <w:rsid w:val="00CD3611"/>
    <w:rsid w:val="00CD36AB"/>
    <w:rsid w:val="00CD4F72"/>
    <w:rsid w:val="00CD51A1"/>
    <w:rsid w:val="00CD52F1"/>
    <w:rsid w:val="00CD5ACE"/>
    <w:rsid w:val="00CD5BC3"/>
    <w:rsid w:val="00CD60C0"/>
    <w:rsid w:val="00CD6589"/>
    <w:rsid w:val="00CD67C6"/>
    <w:rsid w:val="00CD68DA"/>
    <w:rsid w:val="00CD6E47"/>
    <w:rsid w:val="00CD6F81"/>
    <w:rsid w:val="00CD7438"/>
    <w:rsid w:val="00CD7488"/>
    <w:rsid w:val="00CD7531"/>
    <w:rsid w:val="00CD78D4"/>
    <w:rsid w:val="00CE0214"/>
    <w:rsid w:val="00CE0513"/>
    <w:rsid w:val="00CE1076"/>
    <w:rsid w:val="00CE1578"/>
    <w:rsid w:val="00CE1972"/>
    <w:rsid w:val="00CE200B"/>
    <w:rsid w:val="00CE24D5"/>
    <w:rsid w:val="00CE3319"/>
    <w:rsid w:val="00CE38CF"/>
    <w:rsid w:val="00CE3F24"/>
    <w:rsid w:val="00CE42ED"/>
    <w:rsid w:val="00CE45A8"/>
    <w:rsid w:val="00CE46F1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948"/>
    <w:rsid w:val="00CF0C19"/>
    <w:rsid w:val="00CF1D6A"/>
    <w:rsid w:val="00CF2564"/>
    <w:rsid w:val="00CF2851"/>
    <w:rsid w:val="00CF2D6E"/>
    <w:rsid w:val="00CF2EEB"/>
    <w:rsid w:val="00CF3107"/>
    <w:rsid w:val="00CF3676"/>
    <w:rsid w:val="00CF3DC1"/>
    <w:rsid w:val="00CF3F45"/>
    <w:rsid w:val="00CF47A1"/>
    <w:rsid w:val="00CF4A48"/>
    <w:rsid w:val="00CF4CAB"/>
    <w:rsid w:val="00CF50FB"/>
    <w:rsid w:val="00CF52A5"/>
    <w:rsid w:val="00CF5425"/>
    <w:rsid w:val="00CF661C"/>
    <w:rsid w:val="00CF7112"/>
    <w:rsid w:val="00CF72AF"/>
    <w:rsid w:val="00CF7B46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625"/>
    <w:rsid w:val="00D05935"/>
    <w:rsid w:val="00D0597D"/>
    <w:rsid w:val="00D05FF5"/>
    <w:rsid w:val="00D062F2"/>
    <w:rsid w:val="00D06716"/>
    <w:rsid w:val="00D07747"/>
    <w:rsid w:val="00D07FAF"/>
    <w:rsid w:val="00D110CA"/>
    <w:rsid w:val="00D119D2"/>
    <w:rsid w:val="00D11D2E"/>
    <w:rsid w:val="00D12C91"/>
    <w:rsid w:val="00D12D80"/>
    <w:rsid w:val="00D1363F"/>
    <w:rsid w:val="00D13C9E"/>
    <w:rsid w:val="00D13CB3"/>
    <w:rsid w:val="00D13FB7"/>
    <w:rsid w:val="00D14ADD"/>
    <w:rsid w:val="00D15148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1251"/>
    <w:rsid w:val="00D21C03"/>
    <w:rsid w:val="00D21ECA"/>
    <w:rsid w:val="00D21EF0"/>
    <w:rsid w:val="00D22788"/>
    <w:rsid w:val="00D22A60"/>
    <w:rsid w:val="00D23AB4"/>
    <w:rsid w:val="00D2400B"/>
    <w:rsid w:val="00D24B04"/>
    <w:rsid w:val="00D24DD2"/>
    <w:rsid w:val="00D258EC"/>
    <w:rsid w:val="00D25CAA"/>
    <w:rsid w:val="00D26CAA"/>
    <w:rsid w:val="00D271E3"/>
    <w:rsid w:val="00D27C29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CD5"/>
    <w:rsid w:val="00D35A26"/>
    <w:rsid w:val="00D35E5D"/>
    <w:rsid w:val="00D36059"/>
    <w:rsid w:val="00D36F4F"/>
    <w:rsid w:val="00D36F56"/>
    <w:rsid w:val="00D374E1"/>
    <w:rsid w:val="00D379EF"/>
    <w:rsid w:val="00D37B3D"/>
    <w:rsid w:val="00D401B6"/>
    <w:rsid w:val="00D40300"/>
    <w:rsid w:val="00D403A2"/>
    <w:rsid w:val="00D40780"/>
    <w:rsid w:val="00D40A54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81A"/>
    <w:rsid w:val="00D44FA2"/>
    <w:rsid w:val="00D4519A"/>
    <w:rsid w:val="00D452A9"/>
    <w:rsid w:val="00D45655"/>
    <w:rsid w:val="00D45A1E"/>
    <w:rsid w:val="00D45D43"/>
    <w:rsid w:val="00D45E85"/>
    <w:rsid w:val="00D463C6"/>
    <w:rsid w:val="00D4674F"/>
    <w:rsid w:val="00D4705F"/>
    <w:rsid w:val="00D500D5"/>
    <w:rsid w:val="00D5073B"/>
    <w:rsid w:val="00D50A16"/>
    <w:rsid w:val="00D50BB0"/>
    <w:rsid w:val="00D510D0"/>
    <w:rsid w:val="00D519CB"/>
    <w:rsid w:val="00D5238E"/>
    <w:rsid w:val="00D52858"/>
    <w:rsid w:val="00D528FB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964"/>
    <w:rsid w:val="00D56DAC"/>
    <w:rsid w:val="00D577BF"/>
    <w:rsid w:val="00D57B74"/>
    <w:rsid w:val="00D57FAB"/>
    <w:rsid w:val="00D61945"/>
    <w:rsid w:val="00D61D1F"/>
    <w:rsid w:val="00D62110"/>
    <w:rsid w:val="00D6254A"/>
    <w:rsid w:val="00D625EA"/>
    <w:rsid w:val="00D62936"/>
    <w:rsid w:val="00D62CA7"/>
    <w:rsid w:val="00D62CE0"/>
    <w:rsid w:val="00D63413"/>
    <w:rsid w:val="00D63625"/>
    <w:rsid w:val="00D63A26"/>
    <w:rsid w:val="00D640B8"/>
    <w:rsid w:val="00D64CB7"/>
    <w:rsid w:val="00D652E3"/>
    <w:rsid w:val="00D6567D"/>
    <w:rsid w:val="00D65EEE"/>
    <w:rsid w:val="00D667E3"/>
    <w:rsid w:val="00D66D5B"/>
    <w:rsid w:val="00D676B4"/>
    <w:rsid w:val="00D67E90"/>
    <w:rsid w:val="00D67F95"/>
    <w:rsid w:val="00D7028F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7"/>
    <w:rsid w:val="00D76A3A"/>
    <w:rsid w:val="00D77276"/>
    <w:rsid w:val="00D77439"/>
    <w:rsid w:val="00D77913"/>
    <w:rsid w:val="00D77AAF"/>
    <w:rsid w:val="00D8008E"/>
    <w:rsid w:val="00D8084C"/>
    <w:rsid w:val="00D809FE"/>
    <w:rsid w:val="00D81596"/>
    <w:rsid w:val="00D81E93"/>
    <w:rsid w:val="00D81EC9"/>
    <w:rsid w:val="00D83B5A"/>
    <w:rsid w:val="00D83D9D"/>
    <w:rsid w:val="00D84151"/>
    <w:rsid w:val="00D84566"/>
    <w:rsid w:val="00D84618"/>
    <w:rsid w:val="00D84F80"/>
    <w:rsid w:val="00D857C4"/>
    <w:rsid w:val="00D85E56"/>
    <w:rsid w:val="00D8662A"/>
    <w:rsid w:val="00D86964"/>
    <w:rsid w:val="00D86C43"/>
    <w:rsid w:val="00D86EE8"/>
    <w:rsid w:val="00D871AB"/>
    <w:rsid w:val="00D8773A"/>
    <w:rsid w:val="00D907D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5915"/>
    <w:rsid w:val="00D959AE"/>
    <w:rsid w:val="00D95B71"/>
    <w:rsid w:val="00D9624C"/>
    <w:rsid w:val="00D973AE"/>
    <w:rsid w:val="00D97735"/>
    <w:rsid w:val="00D97A0A"/>
    <w:rsid w:val="00D97A9D"/>
    <w:rsid w:val="00D97D0C"/>
    <w:rsid w:val="00DA0785"/>
    <w:rsid w:val="00DA160B"/>
    <w:rsid w:val="00DA22FE"/>
    <w:rsid w:val="00DA25BD"/>
    <w:rsid w:val="00DA2DD9"/>
    <w:rsid w:val="00DA2E64"/>
    <w:rsid w:val="00DA2EDA"/>
    <w:rsid w:val="00DA380C"/>
    <w:rsid w:val="00DA4757"/>
    <w:rsid w:val="00DA4DBB"/>
    <w:rsid w:val="00DA518F"/>
    <w:rsid w:val="00DA531D"/>
    <w:rsid w:val="00DA5733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A91"/>
    <w:rsid w:val="00DB2228"/>
    <w:rsid w:val="00DB25AD"/>
    <w:rsid w:val="00DB27BE"/>
    <w:rsid w:val="00DB2EA8"/>
    <w:rsid w:val="00DB359B"/>
    <w:rsid w:val="00DB369C"/>
    <w:rsid w:val="00DB36DC"/>
    <w:rsid w:val="00DB4282"/>
    <w:rsid w:val="00DB4C49"/>
    <w:rsid w:val="00DB5368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17AD"/>
    <w:rsid w:val="00DC187D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516"/>
    <w:rsid w:val="00DC751F"/>
    <w:rsid w:val="00DC7BD5"/>
    <w:rsid w:val="00DD01F4"/>
    <w:rsid w:val="00DD0569"/>
    <w:rsid w:val="00DD1CCF"/>
    <w:rsid w:val="00DD1D33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74F"/>
    <w:rsid w:val="00DE29EF"/>
    <w:rsid w:val="00DE329F"/>
    <w:rsid w:val="00DE3426"/>
    <w:rsid w:val="00DE3481"/>
    <w:rsid w:val="00DE3727"/>
    <w:rsid w:val="00DE4A76"/>
    <w:rsid w:val="00DE4BCB"/>
    <w:rsid w:val="00DE50CF"/>
    <w:rsid w:val="00DE6E46"/>
    <w:rsid w:val="00DE7137"/>
    <w:rsid w:val="00DE7ADB"/>
    <w:rsid w:val="00DF033B"/>
    <w:rsid w:val="00DF0604"/>
    <w:rsid w:val="00DF0D47"/>
    <w:rsid w:val="00DF0E52"/>
    <w:rsid w:val="00DF2440"/>
    <w:rsid w:val="00DF380E"/>
    <w:rsid w:val="00DF39F6"/>
    <w:rsid w:val="00DF3C0D"/>
    <w:rsid w:val="00DF405F"/>
    <w:rsid w:val="00DF4BCA"/>
    <w:rsid w:val="00DF566C"/>
    <w:rsid w:val="00DF5B09"/>
    <w:rsid w:val="00DF5B3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E46"/>
    <w:rsid w:val="00E021E3"/>
    <w:rsid w:val="00E025CC"/>
    <w:rsid w:val="00E02840"/>
    <w:rsid w:val="00E02DC6"/>
    <w:rsid w:val="00E02ED8"/>
    <w:rsid w:val="00E032B0"/>
    <w:rsid w:val="00E03E36"/>
    <w:rsid w:val="00E043CC"/>
    <w:rsid w:val="00E04407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5D1"/>
    <w:rsid w:val="00E1693C"/>
    <w:rsid w:val="00E2008E"/>
    <w:rsid w:val="00E21234"/>
    <w:rsid w:val="00E21335"/>
    <w:rsid w:val="00E21A79"/>
    <w:rsid w:val="00E21BDE"/>
    <w:rsid w:val="00E21E9D"/>
    <w:rsid w:val="00E22772"/>
    <w:rsid w:val="00E23481"/>
    <w:rsid w:val="00E23E6E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CB9"/>
    <w:rsid w:val="00E26CC8"/>
    <w:rsid w:val="00E26FBA"/>
    <w:rsid w:val="00E2738E"/>
    <w:rsid w:val="00E276A3"/>
    <w:rsid w:val="00E27853"/>
    <w:rsid w:val="00E27B0E"/>
    <w:rsid w:val="00E27EC7"/>
    <w:rsid w:val="00E301D1"/>
    <w:rsid w:val="00E3032B"/>
    <w:rsid w:val="00E30869"/>
    <w:rsid w:val="00E324C6"/>
    <w:rsid w:val="00E327F9"/>
    <w:rsid w:val="00E32A08"/>
    <w:rsid w:val="00E32CE5"/>
    <w:rsid w:val="00E332C4"/>
    <w:rsid w:val="00E33948"/>
    <w:rsid w:val="00E33B49"/>
    <w:rsid w:val="00E33B8A"/>
    <w:rsid w:val="00E33DC3"/>
    <w:rsid w:val="00E34736"/>
    <w:rsid w:val="00E34D12"/>
    <w:rsid w:val="00E34FA2"/>
    <w:rsid w:val="00E35B1A"/>
    <w:rsid w:val="00E35DA4"/>
    <w:rsid w:val="00E366FD"/>
    <w:rsid w:val="00E37315"/>
    <w:rsid w:val="00E37827"/>
    <w:rsid w:val="00E379D6"/>
    <w:rsid w:val="00E401CC"/>
    <w:rsid w:val="00E40476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A85"/>
    <w:rsid w:val="00E5262A"/>
    <w:rsid w:val="00E533B1"/>
    <w:rsid w:val="00E536E0"/>
    <w:rsid w:val="00E537ED"/>
    <w:rsid w:val="00E53E32"/>
    <w:rsid w:val="00E53EC9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2140"/>
    <w:rsid w:val="00E6214F"/>
    <w:rsid w:val="00E6295C"/>
    <w:rsid w:val="00E6487A"/>
    <w:rsid w:val="00E65A4F"/>
    <w:rsid w:val="00E65C83"/>
    <w:rsid w:val="00E6605F"/>
    <w:rsid w:val="00E66060"/>
    <w:rsid w:val="00E66322"/>
    <w:rsid w:val="00E66499"/>
    <w:rsid w:val="00E665DE"/>
    <w:rsid w:val="00E66758"/>
    <w:rsid w:val="00E669E2"/>
    <w:rsid w:val="00E673C2"/>
    <w:rsid w:val="00E674C4"/>
    <w:rsid w:val="00E67B72"/>
    <w:rsid w:val="00E67BD6"/>
    <w:rsid w:val="00E704A5"/>
    <w:rsid w:val="00E70674"/>
    <w:rsid w:val="00E70695"/>
    <w:rsid w:val="00E7086A"/>
    <w:rsid w:val="00E71804"/>
    <w:rsid w:val="00E71EA7"/>
    <w:rsid w:val="00E72AED"/>
    <w:rsid w:val="00E72B08"/>
    <w:rsid w:val="00E72C13"/>
    <w:rsid w:val="00E72D56"/>
    <w:rsid w:val="00E737E2"/>
    <w:rsid w:val="00E73BE0"/>
    <w:rsid w:val="00E73D56"/>
    <w:rsid w:val="00E742AB"/>
    <w:rsid w:val="00E7538D"/>
    <w:rsid w:val="00E75702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3247"/>
    <w:rsid w:val="00E83734"/>
    <w:rsid w:val="00E845ED"/>
    <w:rsid w:val="00E846B1"/>
    <w:rsid w:val="00E84956"/>
    <w:rsid w:val="00E84E3A"/>
    <w:rsid w:val="00E84E7D"/>
    <w:rsid w:val="00E85098"/>
    <w:rsid w:val="00E8569A"/>
    <w:rsid w:val="00E859F8"/>
    <w:rsid w:val="00E85AD4"/>
    <w:rsid w:val="00E85CD4"/>
    <w:rsid w:val="00E871B9"/>
    <w:rsid w:val="00E87783"/>
    <w:rsid w:val="00E87DEE"/>
    <w:rsid w:val="00E906D2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581"/>
    <w:rsid w:val="00E94DCB"/>
    <w:rsid w:val="00E94FBE"/>
    <w:rsid w:val="00E95E71"/>
    <w:rsid w:val="00E96512"/>
    <w:rsid w:val="00E973D4"/>
    <w:rsid w:val="00E9755F"/>
    <w:rsid w:val="00E97A8F"/>
    <w:rsid w:val="00E97E98"/>
    <w:rsid w:val="00EA00C9"/>
    <w:rsid w:val="00EA01FC"/>
    <w:rsid w:val="00EA0231"/>
    <w:rsid w:val="00EA0275"/>
    <w:rsid w:val="00EA0CDC"/>
    <w:rsid w:val="00EA0FCD"/>
    <w:rsid w:val="00EA104D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330F"/>
    <w:rsid w:val="00EA3E6C"/>
    <w:rsid w:val="00EA3F27"/>
    <w:rsid w:val="00EA4E62"/>
    <w:rsid w:val="00EA4E72"/>
    <w:rsid w:val="00EA5636"/>
    <w:rsid w:val="00EA571B"/>
    <w:rsid w:val="00EA634C"/>
    <w:rsid w:val="00EA6EC4"/>
    <w:rsid w:val="00EA743A"/>
    <w:rsid w:val="00EA7893"/>
    <w:rsid w:val="00EA7AA4"/>
    <w:rsid w:val="00EB0297"/>
    <w:rsid w:val="00EB077E"/>
    <w:rsid w:val="00EB1C9A"/>
    <w:rsid w:val="00EB2360"/>
    <w:rsid w:val="00EB2851"/>
    <w:rsid w:val="00EB4B44"/>
    <w:rsid w:val="00EB583A"/>
    <w:rsid w:val="00EB5FD2"/>
    <w:rsid w:val="00EB61C4"/>
    <w:rsid w:val="00EB63B4"/>
    <w:rsid w:val="00EB6841"/>
    <w:rsid w:val="00EB6A52"/>
    <w:rsid w:val="00EB6AE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A00"/>
    <w:rsid w:val="00EC4A5A"/>
    <w:rsid w:val="00EC4C0F"/>
    <w:rsid w:val="00EC4D93"/>
    <w:rsid w:val="00EC5123"/>
    <w:rsid w:val="00EC5525"/>
    <w:rsid w:val="00EC65DE"/>
    <w:rsid w:val="00EC6B63"/>
    <w:rsid w:val="00EC6CCD"/>
    <w:rsid w:val="00EC7229"/>
    <w:rsid w:val="00EC75AE"/>
    <w:rsid w:val="00EC774B"/>
    <w:rsid w:val="00ED068B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841"/>
    <w:rsid w:val="00EE1BBE"/>
    <w:rsid w:val="00EE1F17"/>
    <w:rsid w:val="00EE2043"/>
    <w:rsid w:val="00EE271B"/>
    <w:rsid w:val="00EE28D8"/>
    <w:rsid w:val="00EE4345"/>
    <w:rsid w:val="00EE43B3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7A17"/>
    <w:rsid w:val="00EE7DB8"/>
    <w:rsid w:val="00EF0292"/>
    <w:rsid w:val="00EF0D0F"/>
    <w:rsid w:val="00EF170A"/>
    <w:rsid w:val="00EF1E7D"/>
    <w:rsid w:val="00EF2429"/>
    <w:rsid w:val="00EF3860"/>
    <w:rsid w:val="00EF38AE"/>
    <w:rsid w:val="00EF3DC3"/>
    <w:rsid w:val="00EF4204"/>
    <w:rsid w:val="00EF452C"/>
    <w:rsid w:val="00EF556F"/>
    <w:rsid w:val="00EF56E7"/>
    <w:rsid w:val="00EF5F93"/>
    <w:rsid w:val="00EF681E"/>
    <w:rsid w:val="00EF6E22"/>
    <w:rsid w:val="00EF6ED3"/>
    <w:rsid w:val="00EF7436"/>
    <w:rsid w:val="00EF7E47"/>
    <w:rsid w:val="00F000F0"/>
    <w:rsid w:val="00F00477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878"/>
    <w:rsid w:val="00F12B7A"/>
    <w:rsid w:val="00F13476"/>
    <w:rsid w:val="00F138C2"/>
    <w:rsid w:val="00F13AC9"/>
    <w:rsid w:val="00F13C53"/>
    <w:rsid w:val="00F14897"/>
    <w:rsid w:val="00F1520D"/>
    <w:rsid w:val="00F1534D"/>
    <w:rsid w:val="00F15AA0"/>
    <w:rsid w:val="00F16B64"/>
    <w:rsid w:val="00F17308"/>
    <w:rsid w:val="00F176CE"/>
    <w:rsid w:val="00F17D96"/>
    <w:rsid w:val="00F2060F"/>
    <w:rsid w:val="00F206FA"/>
    <w:rsid w:val="00F20734"/>
    <w:rsid w:val="00F21B4B"/>
    <w:rsid w:val="00F21C31"/>
    <w:rsid w:val="00F2281A"/>
    <w:rsid w:val="00F2311A"/>
    <w:rsid w:val="00F23C96"/>
    <w:rsid w:val="00F24028"/>
    <w:rsid w:val="00F246A7"/>
    <w:rsid w:val="00F24AD0"/>
    <w:rsid w:val="00F25890"/>
    <w:rsid w:val="00F258A4"/>
    <w:rsid w:val="00F259AC"/>
    <w:rsid w:val="00F25BD2"/>
    <w:rsid w:val="00F265A6"/>
    <w:rsid w:val="00F26644"/>
    <w:rsid w:val="00F2677A"/>
    <w:rsid w:val="00F273DD"/>
    <w:rsid w:val="00F2773E"/>
    <w:rsid w:val="00F30351"/>
    <w:rsid w:val="00F304F7"/>
    <w:rsid w:val="00F30813"/>
    <w:rsid w:val="00F30849"/>
    <w:rsid w:val="00F30EA3"/>
    <w:rsid w:val="00F315DB"/>
    <w:rsid w:val="00F31694"/>
    <w:rsid w:val="00F3275D"/>
    <w:rsid w:val="00F3296F"/>
    <w:rsid w:val="00F3364B"/>
    <w:rsid w:val="00F3450F"/>
    <w:rsid w:val="00F345AD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812"/>
    <w:rsid w:val="00F36C12"/>
    <w:rsid w:val="00F370DD"/>
    <w:rsid w:val="00F37415"/>
    <w:rsid w:val="00F37606"/>
    <w:rsid w:val="00F40870"/>
    <w:rsid w:val="00F415CC"/>
    <w:rsid w:val="00F41633"/>
    <w:rsid w:val="00F42374"/>
    <w:rsid w:val="00F42CE0"/>
    <w:rsid w:val="00F436E7"/>
    <w:rsid w:val="00F43A12"/>
    <w:rsid w:val="00F43EFA"/>
    <w:rsid w:val="00F445C9"/>
    <w:rsid w:val="00F4508F"/>
    <w:rsid w:val="00F45236"/>
    <w:rsid w:val="00F4528D"/>
    <w:rsid w:val="00F46AC3"/>
    <w:rsid w:val="00F47371"/>
    <w:rsid w:val="00F50091"/>
    <w:rsid w:val="00F508BC"/>
    <w:rsid w:val="00F50AD9"/>
    <w:rsid w:val="00F511C0"/>
    <w:rsid w:val="00F526D3"/>
    <w:rsid w:val="00F52919"/>
    <w:rsid w:val="00F52B98"/>
    <w:rsid w:val="00F53716"/>
    <w:rsid w:val="00F53891"/>
    <w:rsid w:val="00F53902"/>
    <w:rsid w:val="00F53E62"/>
    <w:rsid w:val="00F5473E"/>
    <w:rsid w:val="00F54964"/>
    <w:rsid w:val="00F557CB"/>
    <w:rsid w:val="00F56043"/>
    <w:rsid w:val="00F560E1"/>
    <w:rsid w:val="00F56304"/>
    <w:rsid w:val="00F56534"/>
    <w:rsid w:val="00F566A5"/>
    <w:rsid w:val="00F56B1D"/>
    <w:rsid w:val="00F57F23"/>
    <w:rsid w:val="00F61FE3"/>
    <w:rsid w:val="00F62B39"/>
    <w:rsid w:val="00F62C10"/>
    <w:rsid w:val="00F630AC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49F1"/>
    <w:rsid w:val="00F74D93"/>
    <w:rsid w:val="00F75421"/>
    <w:rsid w:val="00F75EDD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D37"/>
    <w:rsid w:val="00F906FD"/>
    <w:rsid w:val="00F9136D"/>
    <w:rsid w:val="00F91501"/>
    <w:rsid w:val="00F92944"/>
    <w:rsid w:val="00F92D4B"/>
    <w:rsid w:val="00F93C44"/>
    <w:rsid w:val="00F93C5B"/>
    <w:rsid w:val="00F94323"/>
    <w:rsid w:val="00F94448"/>
    <w:rsid w:val="00F9466B"/>
    <w:rsid w:val="00F95157"/>
    <w:rsid w:val="00F954EE"/>
    <w:rsid w:val="00F95F31"/>
    <w:rsid w:val="00F96646"/>
    <w:rsid w:val="00F96942"/>
    <w:rsid w:val="00F96E2D"/>
    <w:rsid w:val="00F97F72"/>
    <w:rsid w:val="00FA11D6"/>
    <w:rsid w:val="00FA1626"/>
    <w:rsid w:val="00FA229C"/>
    <w:rsid w:val="00FA3732"/>
    <w:rsid w:val="00FA38E8"/>
    <w:rsid w:val="00FA3FEF"/>
    <w:rsid w:val="00FA50D5"/>
    <w:rsid w:val="00FA5141"/>
    <w:rsid w:val="00FA5392"/>
    <w:rsid w:val="00FA63EF"/>
    <w:rsid w:val="00FA6611"/>
    <w:rsid w:val="00FA6A52"/>
    <w:rsid w:val="00FB160C"/>
    <w:rsid w:val="00FB17F3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57A"/>
    <w:rsid w:val="00FB7611"/>
    <w:rsid w:val="00FB766C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EB2"/>
    <w:rsid w:val="00FC3278"/>
    <w:rsid w:val="00FC335E"/>
    <w:rsid w:val="00FC3606"/>
    <w:rsid w:val="00FC3C20"/>
    <w:rsid w:val="00FC3FE4"/>
    <w:rsid w:val="00FC4220"/>
    <w:rsid w:val="00FC540D"/>
    <w:rsid w:val="00FC5ECD"/>
    <w:rsid w:val="00FC6B62"/>
    <w:rsid w:val="00FC6EE5"/>
    <w:rsid w:val="00FC7645"/>
    <w:rsid w:val="00FC7767"/>
    <w:rsid w:val="00FC7F40"/>
    <w:rsid w:val="00FD065B"/>
    <w:rsid w:val="00FD0677"/>
    <w:rsid w:val="00FD07AD"/>
    <w:rsid w:val="00FD26B1"/>
    <w:rsid w:val="00FD2783"/>
    <w:rsid w:val="00FD27D1"/>
    <w:rsid w:val="00FD2C62"/>
    <w:rsid w:val="00FD2F6C"/>
    <w:rsid w:val="00FD3301"/>
    <w:rsid w:val="00FD398E"/>
    <w:rsid w:val="00FD3B88"/>
    <w:rsid w:val="00FD3CB1"/>
    <w:rsid w:val="00FD406C"/>
    <w:rsid w:val="00FD552C"/>
    <w:rsid w:val="00FD57CC"/>
    <w:rsid w:val="00FD5889"/>
    <w:rsid w:val="00FD5A35"/>
    <w:rsid w:val="00FD5ABF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436"/>
    <w:rsid w:val="00FE26DE"/>
    <w:rsid w:val="00FE2D8B"/>
    <w:rsid w:val="00FE2E11"/>
    <w:rsid w:val="00FE5BA2"/>
    <w:rsid w:val="00FE6C16"/>
    <w:rsid w:val="00FE6EF4"/>
    <w:rsid w:val="00FE72EF"/>
    <w:rsid w:val="00FE74DD"/>
    <w:rsid w:val="00FE7ACF"/>
    <w:rsid w:val="00FE7D00"/>
    <w:rsid w:val="00FE7E51"/>
    <w:rsid w:val="00FF0280"/>
    <w:rsid w:val="00FF0966"/>
    <w:rsid w:val="00FF0AC1"/>
    <w:rsid w:val="00FF0B32"/>
    <w:rsid w:val="00FF11C4"/>
    <w:rsid w:val="00FF1B50"/>
    <w:rsid w:val="00FF2256"/>
    <w:rsid w:val="00FF2825"/>
    <w:rsid w:val="00FF2871"/>
    <w:rsid w:val="00FF2941"/>
    <w:rsid w:val="00FF29F7"/>
    <w:rsid w:val="00FF2BBC"/>
    <w:rsid w:val="00FF2E43"/>
    <w:rsid w:val="00FF2EA9"/>
    <w:rsid w:val="00FF3044"/>
    <w:rsid w:val="00FF3CB2"/>
    <w:rsid w:val="00FF41E6"/>
    <w:rsid w:val="00FF4388"/>
    <w:rsid w:val="00FF4FD2"/>
    <w:rsid w:val="00FF5512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>
      <o:colormru v:ext="edit" colors="#963,#969696,#777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ladimir.koprivica@rzs.rs.ba" TargetMode="External"/><Relationship Id="rId18" Type="http://schemas.openxmlformats.org/officeDocument/2006/relationships/hyperlink" Target="mailto:sanela.vasiljevic@rzs.rs.ba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biljana.glisic@rzs.rs.ba" TargetMode="Externa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jana.bandur@rzs.rs.ba" TargetMode="External"/><Relationship Id="rId20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mailto:jasminka.mil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hyperlink" Target="mailto:miroslav.ilic@rzs.rs.ba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zana.alagi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ZANA\GDP-KVARTALI%20od%202006\Q%202011\Q3%202011\Grafikon-Stope%20realnog%20rasta%20Q3%20201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Documents%20and%20Settings\glisicbi.RZS\Desktop\Plate\2011\Za%20Vladana%20GRAFI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nov2011\zaGraf%20nov20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5"/>
  <c:chart>
    <c:plotArea>
      <c:layout>
        <c:manualLayout>
          <c:layoutTarget val="inner"/>
          <c:xMode val="edge"/>
          <c:yMode val="edge"/>
          <c:x val="9.8933195333287802E-2"/>
          <c:y val="0.10628826864087375"/>
          <c:w val="0.76883951056566058"/>
          <c:h val="0.70727306813920987"/>
        </c:manualLayout>
      </c:layout>
      <c:barChart>
        <c:barDir val="col"/>
        <c:grouping val="stacked"/>
        <c:ser>
          <c:idx val="0"/>
          <c:order val="0"/>
          <c:spPr>
            <a:solidFill>
              <a:schemeClr val="accent1">
                <a:lumMod val="75000"/>
              </a:schemeClr>
            </a:solidFill>
            <a:ln>
              <a:noFill/>
            </a:ln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0" h="0"/>
            </a:sp3d>
          </c:spPr>
          <c:cat>
            <c:strRef>
              <c:f>Sheet1!$A$1:$G$1</c:f>
              <c:strCache>
                <c:ptCount val="7"/>
                <c:pt idx="0">
                  <c:v>I 2010</c:v>
                </c:pt>
                <c:pt idx="1">
                  <c:v>II 2010</c:v>
                </c:pt>
                <c:pt idx="2">
                  <c:v>III 2010</c:v>
                </c:pt>
                <c:pt idx="3">
                  <c:v>IV 2010</c:v>
                </c:pt>
                <c:pt idx="4">
                  <c:v>I 2011¹</c:v>
                </c:pt>
                <c:pt idx="5">
                  <c:v>II 2011¹</c:v>
                </c:pt>
                <c:pt idx="6">
                  <c:v>III 2011¹</c:v>
                </c:pt>
              </c:strCache>
            </c:strRef>
          </c:cat>
          <c:val>
            <c:numRef>
              <c:f>Sheet1!$A$2:$G$2</c:f>
              <c:numCache>
                <c:formatCode>0\.0</c:formatCode>
                <c:ptCount val="7"/>
                <c:pt idx="0" formatCode="General">
                  <c:v>-0.30000000000000032</c:v>
                </c:pt>
                <c:pt idx="1">
                  <c:v>1</c:v>
                </c:pt>
                <c:pt idx="2" formatCode="General">
                  <c:v>1.1000000000000001</c:v>
                </c:pt>
                <c:pt idx="3" formatCode="General">
                  <c:v>1.4</c:v>
                </c:pt>
                <c:pt idx="4" formatCode="General">
                  <c:v>1.4</c:v>
                </c:pt>
                <c:pt idx="5" formatCode="General">
                  <c:v>1.5</c:v>
                </c:pt>
                <c:pt idx="6" formatCode="General">
                  <c:v>0.60000000000000064</c:v>
                </c:pt>
              </c:numCache>
            </c:numRef>
          </c:val>
        </c:ser>
        <c:overlap val="100"/>
        <c:axId val="66846720"/>
        <c:axId val="66848256"/>
      </c:barChart>
      <c:catAx>
        <c:axId val="6684672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8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66848256"/>
        <c:crossesAt val="-0.5"/>
        <c:lblAlgn val="ctr"/>
        <c:lblOffset val="100"/>
        <c:tickLblSkip val="1"/>
      </c:catAx>
      <c:valAx>
        <c:axId val="66848256"/>
        <c:scaling>
          <c:orientation val="minMax"/>
          <c:min val="-0.5"/>
        </c:scaling>
        <c:axPos val="l"/>
        <c:majorGridlines>
          <c:spPr>
            <a:ln w="3175"/>
          </c:spPr>
        </c:majorGridlines>
        <c:numFmt formatCode="General" sourceLinked="1"/>
        <c:majorTickMark val="in"/>
        <c:tickLblPos val="nextTo"/>
        <c:txPr>
          <a:bodyPr/>
          <a:lstStyle/>
          <a:p>
            <a:pPr>
              <a:defRPr sz="8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66846720"/>
        <c:crosses val="autoZero"/>
        <c:crossBetween val="between"/>
      </c:valAx>
      <c:spPr>
        <a:ln>
          <a:noFill/>
        </a:ln>
      </c:spPr>
    </c:plotArea>
    <c:plotVisOnly val="1"/>
    <c:dispBlanksAs val="zero"/>
  </c:chart>
  <c:spPr>
    <a:ln>
      <a:noFill/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7.3252545559464644E-2"/>
          <c:y val="0.15095125821136826"/>
          <c:w val="0.65206660337670563"/>
          <c:h val="0.74715927458220444"/>
        </c:manualLayout>
      </c:layout>
      <c:lineChart>
        <c:grouping val="standard"/>
        <c:ser>
          <c:idx val="0"/>
          <c:order val="0"/>
          <c:tx>
            <c:strRef>
              <c:f>Sheet3!$A$2</c:f>
              <c:strCache>
                <c:ptCount val="1"/>
                <c:pt idx="0">
                  <c:v>Просјечна плата запослених</c:v>
                </c:pt>
              </c:strCache>
            </c:strRef>
          </c:tx>
          <c:marker>
            <c:symbol val="none"/>
          </c:marker>
          <c:cat>
            <c:strRef>
              <c:f>Sheet3!$B$1:$N$1</c:f>
              <c:strCache>
                <c:ptCount val="13"/>
                <c:pt idx="0">
                  <c:v>XI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</c:v>
                </c:pt>
              </c:strCache>
            </c:strRef>
          </c:cat>
          <c:val>
            <c:numRef>
              <c:f>Sheet3!$B$2:$N$2</c:f>
              <c:numCache>
                <c:formatCode>General</c:formatCode>
                <c:ptCount val="13"/>
                <c:pt idx="0">
                  <c:v>791</c:v>
                </c:pt>
                <c:pt idx="1">
                  <c:v>798</c:v>
                </c:pt>
                <c:pt idx="2">
                  <c:v>798</c:v>
                </c:pt>
                <c:pt idx="3">
                  <c:v>804</c:v>
                </c:pt>
                <c:pt idx="4">
                  <c:v>807</c:v>
                </c:pt>
                <c:pt idx="5">
                  <c:v>803</c:v>
                </c:pt>
                <c:pt idx="6">
                  <c:v>816</c:v>
                </c:pt>
                <c:pt idx="7">
                  <c:v>817</c:v>
                </c:pt>
                <c:pt idx="8">
                  <c:v>811</c:v>
                </c:pt>
                <c:pt idx="9">
                  <c:v>813</c:v>
                </c:pt>
                <c:pt idx="10">
                  <c:v>807</c:v>
                </c:pt>
                <c:pt idx="11">
                  <c:v>802</c:v>
                </c:pt>
                <c:pt idx="12">
                  <c:v>813</c:v>
                </c:pt>
              </c:numCache>
            </c:numRef>
          </c:val>
        </c:ser>
        <c:marker val="1"/>
        <c:axId val="66866560"/>
        <c:axId val="66909312"/>
      </c:lineChart>
      <c:catAx>
        <c:axId val="66866560"/>
        <c:scaling>
          <c:orientation val="minMax"/>
        </c:scaling>
        <c:axPos val="b"/>
        <c:tickLblPos val="nextTo"/>
        <c:crossAx val="66909312"/>
        <c:crosses val="autoZero"/>
        <c:lblAlgn val="ctr"/>
        <c:lblOffset val="100"/>
      </c:catAx>
      <c:valAx>
        <c:axId val="66909312"/>
        <c:scaling>
          <c:orientation val="minMax"/>
          <c:max val="850"/>
          <c:min val="600"/>
        </c:scaling>
        <c:axPos val="l"/>
        <c:majorGridlines/>
        <c:numFmt formatCode="General" sourceLinked="1"/>
        <c:tickLblPos val="nextTo"/>
        <c:crossAx val="66866560"/>
        <c:crosses val="autoZero"/>
        <c:crossBetween val="between"/>
        <c:majorUnit val="40"/>
      </c:valAx>
    </c:plotArea>
    <c:legend>
      <c:legendPos val="r"/>
      <c:layout>
        <c:manualLayout>
          <c:xMode val="edge"/>
          <c:yMode val="edge"/>
          <c:x val="0.72958170389414101"/>
          <c:y val="0.43924288920078397"/>
          <c:w val="0.26771924134883884"/>
          <c:h val="0.12151390441753702"/>
        </c:manualLayout>
      </c:layout>
    </c:legend>
    <c:plotVisOnly val="1"/>
  </c:chart>
  <c:spPr>
    <a:ln>
      <a:noFill/>
    </a:ln>
  </c:sp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2832174103237096"/>
          <c:y val="5.1400554097404488E-2"/>
          <c:w val="0.65340048118985161"/>
          <c:h val="0.8326195683872849"/>
        </c:manualLayout>
      </c:layout>
      <c:lineChart>
        <c:grouping val="standard"/>
        <c:ser>
          <c:idx val="0"/>
          <c:order val="0"/>
          <c:tx>
            <c:strRef>
              <c:f>zaOkt2011!$A$2</c:f>
              <c:strCache>
                <c:ptCount val="1"/>
                <c:pt idx="0">
                  <c:v>увоз                          </c:v>
                </c:pt>
              </c:strCache>
            </c:strRef>
          </c:tx>
          <c:marker>
            <c:symbol val="none"/>
          </c:marker>
          <c:cat>
            <c:strRef>
              <c:f>zaOkt2011!$B$1:$N$1</c:f>
              <c:strCache>
                <c:ptCount val="13"/>
                <c:pt idx="0">
                  <c:v>XI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</c:v>
                </c:pt>
              </c:strCache>
            </c:strRef>
          </c:cat>
          <c:val>
            <c:numRef>
              <c:f>zaOkt2011!$B$2:$N$2</c:f>
              <c:numCache>
                <c:formatCode>General</c:formatCode>
                <c:ptCount val="13"/>
                <c:pt idx="0">
                  <c:v>370462</c:v>
                </c:pt>
                <c:pt idx="1">
                  <c:v>371725</c:v>
                </c:pt>
                <c:pt idx="2">
                  <c:v>282340</c:v>
                </c:pt>
                <c:pt idx="3">
                  <c:v>318159</c:v>
                </c:pt>
                <c:pt idx="4">
                  <c:v>370953</c:v>
                </c:pt>
                <c:pt idx="5">
                  <c:v>344250</c:v>
                </c:pt>
                <c:pt idx="6">
                  <c:v>344720</c:v>
                </c:pt>
                <c:pt idx="7">
                  <c:v>467781</c:v>
                </c:pt>
                <c:pt idx="8">
                  <c:v>408777</c:v>
                </c:pt>
                <c:pt idx="9">
                  <c:v>375448</c:v>
                </c:pt>
                <c:pt idx="10">
                  <c:v>423853</c:v>
                </c:pt>
                <c:pt idx="11">
                  <c:v>396712</c:v>
                </c:pt>
                <c:pt idx="12">
                  <c:v>392061</c:v>
                </c:pt>
              </c:numCache>
            </c:numRef>
          </c:val>
        </c:ser>
        <c:ser>
          <c:idx val="1"/>
          <c:order val="1"/>
          <c:tx>
            <c:strRef>
              <c:f>zaOkt2011!$A$3</c:f>
              <c:strCache>
                <c:ptCount val="1"/>
                <c:pt idx="0">
                  <c:v>извоз            </c:v>
                </c:pt>
              </c:strCache>
            </c:strRef>
          </c:tx>
          <c:marker>
            <c:symbol val="none"/>
          </c:marker>
          <c:cat>
            <c:strRef>
              <c:f>zaOkt2011!$B$1:$N$1</c:f>
              <c:strCache>
                <c:ptCount val="13"/>
                <c:pt idx="0">
                  <c:v>XI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</c:v>
                </c:pt>
              </c:strCache>
            </c:strRef>
          </c:cat>
          <c:val>
            <c:numRef>
              <c:f>zaOkt2011!$B$3:$N$3</c:f>
              <c:numCache>
                <c:formatCode>General</c:formatCode>
                <c:ptCount val="13"/>
                <c:pt idx="0">
                  <c:v>198072</c:v>
                </c:pt>
                <c:pt idx="1">
                  <c:v>180839</c:v>
                </c:pt>
                <c:pt idx="2">
                  <c:v>175608</c:v>
                </c:pt>
                <c:pt idx="3">
                  <c:v>191390</c:v>
                </c:pt>
                <c:pt idx="4">
                  <c:v>212435</c:v>
                </c:pt>
                <c:pt idx="5">
                  <c:v>213851</c:v>
                </c:pt>
                <c:pt idx="6">
                  <c:v>207617</c:v>
                </c:pt>
                <c:pt idx="7">
                  <c:v>228912</c:v>
                </c:pt>
                <c:pt idx="8">
                  <c:v>214293</c:v>
                </c:pt>
                <c:pt idx="9">
                  <c:v>218369</c:v>
                </c:pt>
                <c:pt idx="10">
                  <c:v>248961</c:v>
                </c:pt>
                <c:pt idx="11">
                  <c:v>220859</c:v>
                </c:pt>
                <c:pt idx="12">
                  <c:v>224442</c:v>
                </c:pt>
              </c:numCache>
            </c:numRef>
          </c:val>
        </c:ser>
        <c:marker val="1"/>
        <c:axId val="34849152"/>
        <c:axId val="34850688"/>
      </c:lineChart>
      <c:catAx>
        <c:axId val="3484915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34850688"/>
        <c:crosses val="autoZero"/>
        <c:auto val="1"/>
        <c:lblAlgn val="ctr"/>
        <c:lblOffset val="100"/>
      </c:catAx>
      <c:valAx>
        <c:axId val="34850688"/>
        <c:scaling>
          <c:orientation val="minMax"/>
        </c:scaling>
        <c:axPos val="l"/>
        <c:majorGridlines/>
        <c:numFmt formatCode="#\ ##0" sourceLinked="0"/>
        <c:tickLblPos val="nextTo"/>
        <c:txPr>
          <a:bodyPr/>
          <a:lstStyle/>
          <a:p>
            <a:pPr>
              <a:defRPr sz="8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34849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672222222222212"/>
          <c:y val="0.41628280839895204"/>
          <c:w val="0.17661111111111141"/>
          <c:h val="0.16743438320210069"/>
        </c:manualLayout>
      </c:layout>
      <c:txPr>
        <a:bodyPr/>
        <a:lstStyle/>
        <a:p>
          <a:pPr>
            <a:defRPr sz="80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0.80414</cdr:x>
      <cdr:y>0</cdr:y>
    </cdr:from>
    <cdr:to>
      <cdr:x>0.91122</cdr:x>
      <cdr:y>0.14286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932367" y="-79513"/>
          <a:ext cx="523636" cy="4180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sr-Cyrl-CS" sz="800">
              <a:latin typeface="Tahoma" pitchFamily="34" charset="0"/>
              <a:ea typeface="Tahoma" pitchFamily="34" charset="0"/>
              <a:cs typeface="Tahoma" pitchFamily="34" charset="0"/>
            </a:rPr>
            <a:t>%</a:t>
          </a:r>
        </a:p>
        <a:p xmlns:a="http://schemas.openxmlformats.org/drawingml/2006/main">
          <a:endParaRPr lang="sr-Latn-BA" sz="1100"/>
        </a:p>
      </cdr:txBody>
    </cdr:sp>
  </cdr:relSizeAnchor>
  <cdr:relSizeAnchor xmlns:cdr="http://schemas.openxmlformats.org/drawingml/2006/chartDrawing">
    <cdr:from>
      <cdr:x>0.79275</cdr:x>
      <cdr:y>0.89286</cdr:y>
    </cdr:from>
    <cdr:to>
      <cdr:x>0.95337</cdr:x>
      <cdr:y>0.99026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371975" y="2619374"/>
          <a:ext cx="885825" cy="2857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sr-Latn-BA" sz="1100"/>
            <a:t>¹</a:t>
          </a:r>
          <a:r>
            <a:rPr lang="en-US" sz="1100"/>
            <a:t> </a:t>
          </a:r>
          <a:r>
            <a:rPr lang="sr-Cyrl-CS" sz="800">
              <a:latin typeface="Tahoma" pitchFamily="34" charset="0"/>
              <a:ea typeface="Tahoma" pitchFamily="34" charset="0"/>
              <a:cs typeface="Tahoma" pitchFamily="34" charset="0"/>
            </a:rPr>
            <a:t>Процјена</a:t>
          </a:r>
          <a:endParaRPr lang="sr-Latn-BA" sz="800">
            <a:latin typeface="Tahoma" pitchFamily="34" charset="0"/>
            <a:ea typeface="Tahoma" pitchFamily="34" charset="0"/>
            <a:cs typeface="Tahoma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0.22083</cdr:x>
      <cdr:y>0.95593</cdr:y>
    </cdr:from>
    <cdr:to>
      <cdr:x>0.42083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09650" y="2686049"/>
          <a:ext cx="914400" cy="123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3B583-3A86-4E75-9043-EF8E7F4C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2293</Words>
  <Characters>13882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16143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sibinovicvl</cp:lastModifiedBy>
  <cp:revision>11</cp:revision>
  <cp:lastPrinted>2011-12-27T10:44:00Z</cp:lastPrinted>
  <dcterms:created xsi:type="dcterms:W3CDTF">2011-12-27T08:48:00Z</dcterms:created>
  <dcterms:modified xsi:type="dcterms:W3CDTF">2011-12-28T08:58:00Z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